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59D08" w14:textId="52EA4019" w:rsidR="007D3594" w:rsidRPr="007D28DB" w:rsidRDefault="002A263D" w:rsidP="007D3594">
      <w:pPr>
        <w:shd w:val="clear" w:color="auto" w:fill="FFFFFF" w:themeFill="background1"/>
        <w:spacing w:after="0"/>
        <w:jc w:val="center"/>
        <w:rPr>
          <w:rFonts w:ascii="Verdana" w:hAnsi="Verdana"/>
          <w:b/>
          <w:sz w:val="32"/>
          <w:szCs w:val="28"/>
          <w:lang w:val="fr-FR"/>
        </w:rPr>
      </w:pPr>
      <w:r w:rsidRPr="007D28DB">
        <w:rPr>
          <w:rFonts w:ascii="Verdana" w:hAnsi="Verdana"/>
          <w:b/>
          <w:sz w:val="32"/>
          <w:szCs w:val="28"/>
          <w:lang w:val="fr-FR"/>
        </w:rPr>
        <w:t>Fracture Liaison Service</w:t>
      </w:r>
      <w:r w:rsidR="007D3594" w:rsidRPr="007D28DB">
        <w:rPr>
          <w:rFonts w:ascii="Verdana" w:hAnsi="Verdana"/>
          <w:b/>
          <w:sz w:val="32"/>
          <w:szCs w:val="28"/>
          <w:lang w:val="fr-FR"/>
        </w:rPr>
        <w:t xml:space="preserve"> </w:t>
      </w:r>
    </w:p>
    <w:p w14:paraId="55A62242" w14:textId="47A0072B" w:rsidR="00075A83" w:rsidRPr="007D28DB" w:rsidRDefault="002A263D" w:rsidP="007D3594">
      <w:pPr>
        <w:shd w:val="clear" w:color="auto" w:fill="FFFFFF" w:themeFill="background1"/>
        <w:spacing w:after="0"/>
        <w:jc w:val="center"/>
        <w:rPr>
          <w:rFonts w:ascii="Verdana" w:hAnsi="Verdana"/>
          <w:b/>
          <w:sz w:val="32"/>
          <w:szCs w:val="28"/>
          <w:lang w:val="en-GB"/>
        </w:rPr>
      </w:pPr>
      <w:r w:rsidRPr="007D28DB">
        <w:rPr>
          <w:rFonts w:ascii="Verdana" w:hAnsi="Verdana"/>
          <w:b/>
          <w:sz w:val="32"/>
          <w:szCs w:val="28"/>
          <w:lang w:val="fr-FR"/>
        </w:rPr>
        <w:t>Service</w:t>
      </w:r>
      <w:r w:rsidRPr="007D28DB">
        <w:rPr>
          <w:rFonts w:ascii="Verdana" w:hAnsi="Verdana"/>
          <w:b/>
          <w:sz w:val="32"/>
          <w:szCs w:val="28"/>
          <w:lang w:val="en-GB"/>
        </w:rPr>
        <w:t xml:space="preserve"> Specification</w:t>
      </w:r>
    </w:p>
    <w:p w14:paraId="1BAEAFC5" w14:textId="77777777" w:rsidR="00296DCF" w:rsidRPr="00B7395D" w:rsidRDefault="00296DCF" w:rsidP="00075A83">
      <w:pPr>
        <w:spacing w:after="0"/>
        <w:jc w:val="both"/>
        <w:rPr>
          <w:rFonts w:ascii="Verdana" w:hAnsi="Verdana" w:cs="Arial"/>
          <w:sz w:val="20"/>
          <w:lang w:val="en-GB"/>
        </w:rPr>
      </w:pPr>
    </w:p>
    <w:p w14:paraId="70789F4D" w14:textId="535E97F0" w:rsidR="00E428DE" w:rsidRPr="00BB3B60" w:rsidRDefault="0065043F" w:rsidP="00075A83">
      <w:pPr>
        <w:spacing w:after="0"/>
        <w:jc w:val="both"/>
        <w:rPr>
          <w:rFonts w:ascii="Verdana" w:hAnsi="Verdana" w:cs="Arial"/>
          <w:sz w:val="22"/>
          <w:szCs w:val="22"/>
          <w:lang w:val="en-GB"/>
        </w:rPr>
      </w:pPr>
      <w:r w:rsidRPr="00BB3B60">
        <w:rPr>
          <w:rFonts w:ascii="Verdana" w:hAnsi="Verdana" w:cs="Calibri"/>
          <w:b/>
          <w:bCs/>
          <w:noProof/>
          <w:sz w:val="22"/>
          <w:szCs w:val="22"/>
          <w:lang w:val="en-GB" w:eastAsia="en-GB"/>
        </w:rPr>
        <mc:AlternateContent>
          <mc:Choice Requires="wps">
            <w:drawing>
              <wp:inline distT="0" distB="0" distL="0" distR="0" wp14:anchorId="09F2FE5C" wp14:editId="7E6B683E">
                <wp:extent cx="5709920" cy="7496175"/>
                <wp:effectExtent l="0" t="0" r="2413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7496175"/>
                        </a:xfrm>
                        <a:prstGeom prst="rect">
                          <a:avLst/>
                        </a:prstGeom>
                        <a:solidFill>
                          <a:srgbClr val="0D73A5"/>
                        </a:solidFill>
                        <a:ln w="9525">
                          <a:solidFill>
                            <a:srgbClr val="000000"/>
                          </a:solidFill>
                          <a:miter lim="800000"/>
                          <a:headEnd/>
                          <a:tailEnd/>
                        </a:ln>
                      </wps:spPr>
                      <wps:txbx>
                        <w:txbxContent>
                          <w:p w14:paraId="65DF0B57" w14:textId="6E6F36B5" w:rsidR="002F75E4" w:rsidRPr="002A0A10" w:rsidRDefault="002F75E4" w:rsidP="00194D0B">
                            <w:pPr>
                              <w:pStyle w:val="NormalWeb"/>
                              <w:spacing w:before="0" w:beforeAutospacing="0" w:after="120" w:afterAutospacing="0"/>
                              <w:rPr>
                                <w:rFonts w:ascii="Verdana" w:hAnsi="Verdana"/>
                                <w:i/>
                              </w:rPr>
                            </w:pPr>
                            <w:r w:rsidRPr="002A0A10">
                              <w:rPr>
                                <w:rFonts w:ascii="Verdana" w:hAnsi="Verdana" w:cs="Calibri"/>
                                <w:b/>
                                <w:bCs/>
                                <w:i/>
                                <w:color w:val="FFFFFF"/>
                                <w:sz w:val="22"/>
                                <w:szCs w:val="22"/>
                                <w:u w:val="single"/>
                              </w:rPr>
                              <w:t xml:space="preserve">This </w:t>
                            </w:r>
                            <w:r>
                              <w:rPr>
                                <w:rFonts w:ascii="Verdana" w:hAnsi="Verdana" w:cs="Calibri"/>
                                <w:b/>
                                <w:bCs/>
                                <w:i/>
                                <w:color w:val="FFFFFF"/>
                                <w:sz w:val="22"/>
                                <w:szCs w:val="22"/>
                                <w:u w:val="single"/>
                              </w:rPr>
                              <w:t>resource:</w:t>
                            </w:r>
                          </w:p>
                          <w:p w14:paraId="38C2E884" w14:textId="6196F2C9" w:rsidR="002F75E4" w:rsidRPr="002A0A10" w:rsidRDefault="002F75E4" w:rsidP="00C70314">
                            <w:pPr>
                              <w:pStyle w:val="NormalWeb"/>
                              <w:spacing w:before="0" w:beforeAutospacing="0" w:after="120" w:afterAutospacing="0"/>
                              <w:jc w:val="both"/>
                              <w:rPr>
                                <w:rFonts w:ascii="Verdana" w:hAnsi="Verdana" w:cs="Calibri"/>
                                <w:i/>
                                <w:color w:val="FFFFFF"/>
                                <w:sz w:val="22"/>
                                <w:szCs w:val="22"/>
                              </w:rPr>
                            </w:pPr>
                            <w:r w:rsidRPr="002A0A10">
                              <w:rPr>
                                <w:rFonts w:ascii="Verdana" w:hAnsi="Verdana" w:cs="Calibri"/>
                                <w:i/>
                                <w:color w:val="FFFFFF"/>
                                <w:sz w:val="22"/>
                                <w:szCs w:val="22"/>
                              </w:rPr>
                              <w:t xml:space="preserve">This resource has been created by the </w:t>
                            </w:r>
                            <w:r>
                              <w:rPr>
                                <w:rFonts w:ascii="Verdana" w:hAnsi="Verdana" w:cs="Calibri"/>
                                <w:i/>
                                <w:color w:val="FFFFFF"/>
                                <w:sz w:val="22"/>
                                <w:szCs w:val="22"/>
                              </w:rPr>
                              <w:t>Royal</w:t>
                            </w:r>
                            <w:r w:rsidRPr="002A0A10">
                              <w:rPr>
                                <w:rFonts w:ascii="Verdana" w:hAnsi="Verdana" w:cs="Calibri"/>
                                <w:i/>
                                <w:color w:val="FFFFFF"/>
                                <w:sz w:val="22"/>
                                <w:szCs w:val="22"/>
                              </w:rPr>
                              <w:t xml:space="preserve"> Osteoporosis Society as part of the Fracture Liaison Service Implementation Toolkit (FLS-IT). The aim of the toolkit is to take some of the hard work out of establishing a new Fracture Liaison Service (FLS) or improving an existing one.</w:t>
                            </w:r>
                          </w:p>
                          <w:p w14:paraId="285ED69D" w14:textId="6CB5448A" w:rsidR="002F75E4" w:rsidRPr="002A0A10" w:rsidRDefault="002F75E4" w:rsidP="00C70314">
                            <w:pPr>
                              <w:pStyle w:val="NormalWeb"/>
                              <w:spacing w:before="0" w:beforeAutospacing="0" w:after="120" w:afterAutospacing="0"/>
                              <w:jc w:val="both"/>
                              <w:rPr>
                                <w:rFonts w:ascii="Verdana" w:hAnsi="Verdana" w:cs="Calibri"/>
                                <w:i/>
                                <w:color w:val="FFFFFF"/>
                                <w:sz w:val="22"/>
                                <w:szCs w:val="22"/>
                              </w:rPr>
                            </w:pPr>
                            <w:r w:rsidRPr="002A0A10">
                              <w:rPr>
                                <w:rFonts w:ascii="Verdana" w:hAnsi="Verdana" w:cs="Calibri"/>
                                <w:i/>
                                <w:color w:val="FFFFFF"/>
                                <w:sz w:val="22"/>
                                <w:szCs w:val="22"/>
                              </w:rPr>
                              <w:t xml:space="preserve">This </w:t>
                            </w:r>
                            <w:r>
                              <w:rPr>
                                <w:rFonts w:ascii="Verdana" w:hAnsi="Verdana" w:cs="Calibri"/>
                                <w:i/>
                                <w:color w:val="FFFFFF"/>
                                <w:sz w:val="22"/>
                                <w:szCs w:val="22"/>
                              </w:rPr>
                              <w:t>resource</w:t>
                            </w:r>
                            <w:r w:rsidRPr="002A0A10">
                              <w:rPr>
                                <w:rFonts w:ascii="Verdana" w:hAnsi="Verdana" w:cs="Calibri"/>
                                <w:i/>
                                <w:color w:val="FFFFFF"/>
                                <w:sz w:val="22"/>
                                <w:szCs w:val="22"/>
                              </w:rPr>
                              <w:t xml:space="preserve"> has been created by working professionals in the NHS in each of the four home nations and makes use of current policy and best practice. It has been designed to save the user the time and trouble of researching, </w:t>
                            </w:r>
                            <w:proofErr w:type="gramStart"/>
                            <w:r w:rsidRPr="002A0A10">
                              <w:rPr>
                                <w:rFonts w:ascii="Verdana" w:hAnsi="Verdana" w:cs="Calibri"/>
                                <w:i/>
                                <w:color w:val="FFFFFF"/>
                                <w:sz w:val="22"/>
                                <w:szCs w:val="22"/>
                              </w:rPr>
                              <w:t>drafting</w:t>
                            </w:r>
                            <w:proofErr w:type="gramEnd"/>
                            <w:r w:rsidRPr="002A0A10">
                              <w:rPr>
                                <w:rFonts w:ascii="Verdana" w:hAnsi="Verdana" w:cs="Calibri"/>
                                <w:i/>
                                <w:color w:val="FFFFFF"/>
                                <w:sz w:val="22"/>
                                <w:szCs w:val="22"/>
                              </w:rPr>
                              <w:t xml:space="preserve"> and editing a document or workbook from scratch. References have been included where relevant. </w:t>
                            </w:r>
                          </w:p>
                          <w:p w14:paraId="595C0386" w14:textId="40A1D495" w:rsidR="002F75E4" w:rsidRPr="002A0A10" w:rsidRDefault="002F75E4" w:rsidP="00C70314">
                            <w:pPr>
                              <w:pStyle w:val="NormalWeb"/>
                              <w:spacing w:before="0" w:beforeAutospacing="0" w:after="120" w:afterAutospacing="0"/>
                              <w:jc w:val="both"/>
                              <w:rPr>
                                <w:rFonts w:ascii="Verdana" w:hAnsi="Verdana" w:cs="Calibri"/>
                                <w:i/>
                                <w:color w:val="FFFFFF"/>
                                <w:sz w:val="22"/>
                                <w:szCs w:val="22"/>
                              </w:rPr>
                            </w:pPr>
                            <w:r w:rsidRPr="002A0A10">
                              <w:rPr>
                                <w:rFonts w:ascii="Verdana" w:hAnsi="Verdana" w:cs="Calibri"/>
                                <w:i/>
                                <w:color w:val="FFFFFF"/>
                                <w:sz w:val="22"/>
                                <w:szCs w:val="22"/>
                              </w:rPr>
                              <w:t xml:space="preserve">You are free to use, change, edit or adapt this template as you wish. We trust that you will find this tool useful; if you have any queries or would like to make any suggestions on how to improve it, please contact us at the </w:t>
                            </w:r>
                            <w:r>
                              <w:rPr>
                                <w:rFonts w:ascii="Verdana" w:hAnsi="Verdana" w:cs="Calibri"/>
                                <w:i/>
                                <w:color w:val="FFFFFF"/>
                                <w:sz w:val="22"/>
                                <w:szCs w:val="22"/>
                              </w:rPr>
                              <w:t>Royal</w:t>
                            </w:r>
                            <w:r w:rsidRPr="002A0A10">
                              <w:rPr>
                                <w:rFonts w:ascii="Verdana" w:hAnsi="Verdana" w:cs="Calibri"/>
                                <w:i/>
                                <w:color w:val="FFFFFF"/>
                                <w:sz w:val="22"/>
                                <w:szCs w:val="22"/>
                              </w:rPr>
                              <w:t xml:space="preserve"> Osteoporosis Society. If you would like to see or to download other tools, please go to: </w:t>
                            </w:r>
                            <w:hyperlink r:id="rId11" w:history="1">
                              <w:r w:rsidRPr="005D4760">
                                <w:rPr>
                                  <w:rStyle w:val="Hyperlink"/>
                                  <w:rFonts w:ascii="Verdana" w:hAnsi="Verdana" w:cs="Calibri"/>
                                  <w:i/>
                                  <w:sz w:val="22"/>
                                  <w:szCs w:val="22"/>
                                  <w:lang w:val="en-US"/>
                                </w:rPr>
                                <w:t>https://theros.org.uk/healthcare-professionals/fracture-liaison-services/implementation-toolkit/</w:t>
                              </w:r>
                            </w:hyperlink>
                          </w:p>
                          <w:p w14:paraId="30AF30A8" w14:textId="759030C0" w:rsidR="002F75E4" w:rsidRPr="002A0A10" w:rsidRDefault="002F75E4" w:rsidP="00194D0B">
                            <w:pPr>
                              <w:pStyle w:val="NormalWeb"/>
                              <w:spacing w:before="0" w:beforeAutospacing="0" w:after="120" w:afterAutospacing="0"/>
                              <w:rPr>
                                <w:rFonts w:ascii="Verdana" w:hAnsi="Verdana"/>
                                <w:b/>
                                <w:i/>
                                <w:u w:val="single"/>
                              </w:rPr>
                            </w:pPr>
                            <w:r w:rsidRPr="002A0A10">
                              <w:rPr>
                                <w:rFonts w:ascii="Verdana" w:hAnsi="Verdana" w:cs="Calibri"/>
                                <w:b/>
                                <w:i/>
                                <w:color w:val="FFFFFF"/>
                                <w:sz w:val="22"/>
                                <w:szCs w:val="22"/>
                                <w:u w:val="single"/>
                              </w:rPr>
                              <w:t>Disclaimer</w:t>
                            </w:r>
                          </w:p>
                          <w:p w14:paraId="4BEA7BF7" w14:textId="64A45273" w:rsidR="002F75E4" w:rsidRPr="002A0A10" w:rsidRDefault="002F75E4" w:rsidP="00C70314">
                            <w:pPr>
                              <w:pStyle w:val="NormalWeb"/>
                              <w:spacing w:before="0" w:beforeAutospacing="0" w:after="120" w:afterAutospacing="0"/>
                              <w:jc w:val="both"/>
                              <w:rPr>
                                <w:rFonts w:ascii="Verdana" w:hAnsi="Verdana" w:cs="Calibri"/>
                                <w:i/>
                                <w:color w:val="FFFFFF"/>
                                <w:sz w:val="22"/>
                                <w:szCs w:val="22"/>
                              </w:rPr>
                            </w:pPr>
                            <w:r w:rsidRPr="002A0A10">
                              <w:rPr>
                                <w:rFonts w:ascii="Verdana" w:hAnsi="Verdana" w:cs="Calibri"/>
                                <w:i/>
                                <w:color w:val="FFFFFF"/>
                                <w:sz w:val="22"/>
                                <w:szCs w:val="22"/>
                              </w:rPr>
                              <w:t>This</w:t>
                            </w:r>
                            <w:r>
                              <w:rPr>
                                <w:rFonts w:ascii="Verdana" w:hAnsi="Verdana" w:cs="Calibri"/>
                                <w:i/>
                                <w:color w:val="FFFFFF"/>
                                <w:sz w:val="22"/>
                                <w:szCs w:val="22"/>
                              </w:rPr>
                              <w:t xml:space="preserve"> resource</w:t>
                            </w:r>
                            <w:r w:rsidRPr="002A0A10">
                              <w:rPr>
                                <w:rFonts w:ascii="Verdana" w:hAnsi="Verdana" w:cs="Calibri"/>
                                <w:i/>
                                <w:color w:val="FFFFFF"/>
                                <w:sz w:val="22"/>
                                <w:szCs w:val="22"/>
                              </w:rPr>
                              <w:t xml:space="preserve"> is provided free as part of the FLS-IT by the </w:t>
                            </w:r>
                            <w:r>
                              <w:rPr>
                                <w:rFonts w:ascii="Verdana" w:hAnsi="Verdana" w:cs="Calibri"/>
                                <w:i/>
                                <w:color w:val="FFFFFF"/>
                                <w:sz w:val="22"/>
                                <w:szCs w:val="22"/>
                              </w:rPr>
                              <w:t>Royal</w:t>
                            </w:r>
                            <w:r w:rsidRPr="002A0A10">
                              <w:rPr>
                                <w:rFonts w:ascii="Verdana" w:hAnsi="Verdana" w:cs="Calibri"/>
                                <w:i/>
                                <w:color w:val="FFFFFF"/>
                                <w:sz w:val="22"/>
                                <w:szCs w:val="22"/>
                              </w:rPr>
                              <w:t xml:space="preserve"> Osteoporosis Society. This </w:t>
                            </w:r>
                            <w:r>
                              <w:rPr>
                                <w:rFonts w:ascii="Verdana" w:hAnsi="Verdana" w:cs="Calibri"/>
                                <w:i/>
                                <w:color w:val="FFFFFF"/>
                                <w:sz w:val="22"/>
                                <w:szCs w:val="22"/>
                              </w:rPr>
                              <w:t>resource</w:t>
                            </w:r>
                            <w:r w:rsidRPr="002A0A10">
                              <w:rPr>
                                <w:rFonts w:ascii="Verdana" w:hAnsi="Verdana" w:cs="Calibri"/>
                                <w:i/>
                                <w:color w:val="FFFFFF"/>
                                <w:sz w:val="22"/>
                                <w:szCs w:val="22"/>
                              </w:rPr>
                              <w:t xml:space="preserve"> does not represent the views of the </w:t>
                            </w:r>
                            <w:r>
                              <w:rPr>
                                <w:rFonts w:ascii="Verdana" w:hAnsi="Verdana" w:cs="Calibri"/>
                                <w:i/>
                                <w:color w:val="FFFFFF"/>
                                <w:sz w:val="22"/>
                                <w:szCs w:val="22"/>
                              </w:rPr>
                              <w:t>Royal</w:t>
                            </w:r>
                            <w:r w:rsidRPr="002A0A10">
                              <w:rPr>
                                <w:rFonts w:ascii="Verdana" w:hAnsi="Verdana" w:cs="Calibri"/>
                                <w:i/>
                                <w:color w:val="FFFFFF"/>
                                <w:sz w:val="22"/>
                                <w:szCs w:val="22"/>
                              </w:rPr>
                              <w:t xml:space="preserve"> Osteoporosis Society. Every effort has been made to make sure that the information contained within this document is accurate and in full compliance with UK law and with best practice at the time of writing. There is no guarantee as to the accuracy or reliability of any of the information contained in this </w:t>
                            </w:r>
                            <w:r>
                              <w:rPr>
                                <w:rFonts w:ascii="Verdana" w:hAnsi="Verdana" w:cs="Calibri"/>
                                <w:i/>
                                <w:color w:val="FFFFFF"/>
                                <w:sz w:val="22"/>
                                <w:szCs w:val="22"/>
                              </w:rPr>
                              <w:t>resource</w:t>
                            </w:r>
                            <w:r w:rsidRPr="002A0A10">
                              <w:rPr>
                                <w:rFonts w:ascii="Verdana" w:hAnsi="Verdana" w:cs="Calibri"/>
                                <w:i/>
                                <w:color w:val="FFFFFF"/>
                                <w:sz w:val="22"/>
                                <w:szCs w:val="22"/>
                              </w:rPr>
                              <w:t xml:space="preserve"> and </w:t>
                            </w:r>
                            <w:r>
                              <w:rPr>
                                <w:rFonts w:ascii="Verdana" w:hAnsi="Verdana" w:cs="Calibri"/>
                                <w:i/>
                                <w:color w:val="FFFFFF"/>
                                <w:sz w:val="22"/>
                                <w:szCs w:val="22"/>
                              </w:rPr>
                              <w:t>its use</w:t>
                            </w:r>
                            <w:r w:rsidRPr="002A0A10">
                              <w:rPr>
                                <w:rFonts w:ascii="Verdana" w:hAnsi="Verdana" w:cs="Calibri"/>
                                <w:i/>
                                <w:color w:val="FFFFFF"/>
                                <w:sz w:val="22"/>
                                <w:szCs w:val="22"/>
                              </w:rPr>
                              <w:t xml:space="preserve"> is entirely at the user’s risk and no liability whatsoever is accepted by the </w:t>
                            </w:r>
                            <w:r>
                              <w:rPr>
                                <w:rFonts w:ascii="Verdana" w:hAnsi="Verdana" w:cs="Calibri"/>
                                <w:i/>
                                <w:color w:val="FFFFFF"/>
                                <w:sz w:val="22"/>
                                <w:szCs w:val="22"/>
                              </w:rPr>
                              <w:t>Royal</w:t>
                            </w:r>
                            <w:r w:rsidRPr="002A0A10">
                              <w:rPr>
                                <w:rFonts w:ascii="Verdana" w:hAnsi="Verdana" w:cs="Calibri"/>
                                <w:i/>
                                <w:color w:val="FFFFFF"/>
                                <w:sz w:val="22"/>
                                <w:szCs w:val="22"/>
                              </w:rPr>
                              <w:t xml:space="preserve"> Osteoporosis Society.</w:t>
                            </w:r>
                          </w:p>
                          <w:p w14:paraId="60C3A587" w14:textId="03028D37" w:rsidR="002F75E4" w:rsidRPr="002A0A10" w:rsidRDefault="002F75E4" w:rsidP="00194D0B">
                            <w:pPr>
                              <w:pStyle w:val="NormalWeb"/>
                              <w:spacing w:before="0" w:beforeAutospacing="0" w:after="120" w:afterAutospacing="0"/>
                              <w:rPr>
                                <w:rFonts w:ascii="Verdana" w:hAnsi="Verdana"/>
                                <w:i/>
                              </w:rPr>
                            </w:pPr>
                            <w:r w:rsidRPr="002A0A10">
                              <w:rPr>
                                <w:rFonts w:ascii="Verdana" w:hAnsi="Verdana" w:cs="Calibri"/>
                                <w:b/>
                                <w:bCs/>
                                <w:i/>
                                <w:color w:val="FFFFFF"/>
                                <w:sz w:val="22"/>
                                <w:szCs w:val="22"/>
                                <w:u w:val="single"/>
                              </w:rPr>
                              <w:t>Instructions for use</w:t>
                            </w:r>
                          </w:p>
                          <w:p w14:paraId="4CB213D1" w14:textId="4503CBB7" w:rsidR="002F75E4" w:rsidRDefault="002F75E4" w:rsidP="00C70314">
                            <w:pPr>
                              <w:pStyle w:val="NormalWeb"/>
                              <w:spacing w:before="0" w:beforeAutospacing="0" w:after="120" w:afterAutospacing="0"/>
                              <w:jc w:val="both"/>
                              <w:rPr>
                                <w:rFonts w:ascii="Verdana" w:hAnsi="Verdana" w:cs="Calibri"/>
                                <w:i/>
                                <w:color w:val="FFFFFF"/>
                                <w:sz w:val="22"/>
                                <w:szCs w:val="22"/>
                              </w:rPr>
                            </w:pPr>
                            <w:r w:rsidRPr="002A0A10">
                              <w:rPr>
                                <w:rFonts w:ascii="Verdana" w:hAnsi="Verdana" w:cs="Calibri"/>
                                <w:i/>
                                <w:color w:val="FFFFFF"/>
                                <w:sz w:val="22"/>
                                <w:szCs w:val="22"/>
                              </w:rPr>
                              <w:t>Th</w:t>
                            </w:r>
                            <w:r>
                              <w:rPr>
                                <w:rFonts w:ascii="Verdana" w:hAnsi="Verdana" w:cs="Calibri"/>
                                <w:i/>
                                <w:color w:val="FFFFFF"/>
                                <w:sz w:val="22"/>
                                <w:szCs w:val="22"/>
                              </w:rPr>
                              <w:t>e resourc</w:t>
                            </w:r>
                            <w:r w:rsidRPr="002A0A10">
                              <w:rPr>
                                <w:rFonts w:ascii="Verdana" w:hAnsi="Verdana" w:cs="Calibri"/>
                                <w:i/>
                                <w:color w:val="FFFFFF"/>
                                <w:sz w:val="22"/>
                                <w:szCs w:val="22"/>
                              </w:rPr>
                              <w:t xml:space="preserve">e is fully editable. Formatting has been kept to a minimum to allow flexible use either editing this </w:t>
                            </w:r>
                            <w:r>
                              <w:rPr>
                                <w:rFonts w:ascii="Verdana" w:hAnsi="Verdana" w:cs="Calibri"/>
                                <w:i/>
                                <w:color w:val="FFFFFF"/>
                                <w:sz w:val="22"/>
                                <w:szCs w:val="22"/>
                              </w:rPr>
                              <w:t>document</w:t>
                            </w:r>
                            <w:r w:rsidRPr="002A0A10">
                              <w:rPr>
                                <w:rFonts w:ascii="Verdana" w:hAnsi="Verdana" w:cs="Calibri"/>
                                <w:i/>
                                <w:color w:val="FFFFFF"/>
                                <w:sz w:val="22"/>
                                <w:szCs w:val="22"/>
                              </w:rPr>
                              <w:t xml:space="preserve"> or copying material to use in local documents.  The </w:t>
                            </w:r>
                            <w:r>
                              <w:rPr>
                                <w:rFonts w:ascii="Verdana" w:hAnsi="Verdana" w:cs="Calibri"/>
                                <w:i/>
                                <w:color w:val="FFFFFF"/>
                                <w:sz w:val="22"/>
                                <w:szCs w:val="22"/>
                              </w:rPr>
                              <w:t>resource</w:t>
                            </w:r>
                            <w:r w:rsidRPr="002A0A10">
                              <w:rPr>
                                <w:rFonts w:ascii="Verdana" w:hAnsi="Verdana" w:cs="Calibri"/>
                                <w:i/>
                                <w:color w:val="FFFFFF"/>
                                <w:sz w:val="22"/>
                                <w:szCs w:val="22"/>
                              </w:rPr>
                              <w:t xml:space="preserve"> may include guidance on use and/or sections where local information may need to be entered. These have been highlighted </w:t>
                            </w:r>
                            <w:r w:rsidRPr="002A0A10">
                              <w:rPr>
                                <w:rFonts w:ascii="Verdana" w:hAnsi="Verdana" w:cs="Calibri"/>
                                <w:b/>
                                <w:i/>
                                <w:color w:val="FFFFFF"/>
                                <w:sz w:val="22"/>
                                <w:szCs w:val="22"/>
                              </w:rPr>
                              <w:t>[using bold text in square brackets]</w:t>
                            </w:r>
                            <w:r w:rsidRPr="002A0A10">
                              <w:rPr>
                                <w:rFonts w:ascii="Verdana" w:hAnsi="Verdana" w:cs="Calibri"/>
                                <w:i/>
                                <w:color w:val="FFFFFF"/>
                                <w:sz w:val="22"/>
                                <w:szCs w:val="22"/>
                              </w:rPr>
                              <w:t>. Please delete or overwrite these sections as you go along and make the necessary font or formatting changes.</w:t>
                            </w:r>
                          </w:p>
                          <w:p w14:paraId="3DB2629A" w14:textId="77777777" w:rsidR="002F75E4" w:rsidRDefault="002F75E4" w:rsidP="00C70314">
                            <w:pPr>
                              <w:pStyle w:val="NormalWeb"/>
                              <w:spacing w:before="0" w:beforeAutospacing="0" w:after="120" w:afterAutospacing="0"/>
                              <w:jc w:val="both"/>
                              <w:rPr>
                                <w:rFonts w:ascii="Verdana" w:hAnsi="Verdana" w:cs="Calibri"/>
                                <w:i/>
                                <w:color w:val="FFFFFF"/>
                                <w:sz w:val="22"/>
                                <w:szCs w:val="22"/>
                              </w:rPr>
                            </w:pPr>
                          </w:p>
                          <w:p w14:paraId="7F8A6D3E" w14:textId="06BCE59D" w:rsidR="002F75E4" w:rsidRPr="002A0A10" w:rsidRDefault="002F75E4" w:rsidP="00C70314">
                            <w:pPr>
                              <w:pStyle w:val="NormalWeb"/>
                              <w:spacing w:before="0" w:beforeAutospacing="0" w:after="120" w:afterAutospacing="0"/>
                              <w:jc w:val="both"/>
                              <w:rPr>
                                <w:rFonts w:ascii="Verdana" w:hAnsi="Verdana" w:cs="Calibri"/>
                                <w:i/>
                                <w:color w:val="FFFFFF"/>
                                <w:sz w:val="22"/>
                                <w:szCs w:val="22"/>
                              </w:rPr>
                            </w:pPr>
                            <w:r w:rsidRPr="00C70314">
                              <w:rPr>
                                <w:rFonts w:ascii="Verdana" w:hAnsi="Verdana" w:cs="Calibri"/>
                                <w:i/>
                                <w:color w:val="FFFFFF"/>
                                <w:sz w:val="22"/>
                                <w:szCs w:val="22"/>
                              </w:rPr>
                              <w:t xml:space="preserve">Note that this </w:t>
                            </w:r>
                            <w:r>
                              <w:rPr>
                                <w:rFonts w:ascii="Verdana" w:hAnsi="Verdana" w:cs="Calibri"/>
                                <w:i/>
                                <w:color w:val="FFFFFF"/>
                                <w:sz w:val="22"/>
                                <w:szCs w:val="22"/>
                              </w:rPr>
                              <w:t>resource</w:t>
                            </w:r>
                            <w:r w:rsidRPr="00C70314">
                              <w:rPr>
                                <w:rFonts w:ascii="Verdana" w:hAnsi="Verdana" w:cs="Calibri"/>
                                <w:i/>
                                <w:color w:val="FFFFFF"/>
                                <w:sz w:val="22"/>
                                <w:szCs w:val="22"/>
                              </w:rPr>
                              <w:t xml:space="preserve"> is based on the service specification in use in the NHS England as part of the standard NHS contract for acute services. Text may be edited, </w:t>
                            </w:r>
                            <w:proofErr w:type="gramStart"/>
                            <w:r w:rsidRPr="00C70314">
                              <w:rPr>
                                <w:rFonts w:ascii="Verdana" w:hAnsi="Verdana" w:cs="Calibri"/>
                                <w:i/>
                                <w:color w:val="FFFFFF"/>
                                <w:sz w:val="22"/>
                                <w:szCs w:val="22"/>
                              </w:rPr>
                              <w:t>amended</w:t>
                            </w:r>
                            <w:proofErr w:type="gramEnd"/>
                            <w:r w:rsidRPr="00C70314">
                              <w:rPr>
                                <w:rFonts w:ascii="Verdana" w:hAnsi="Verdana" w:cs="Calibri"/>
                                <w:i/>
                                <w:color w:val="FFFFFF"/>
                                <w:sz w:val="22"/>
                                <w:szCs w:val="22"/>
                              </w:rPr>
                              <w:t xml:space="preserve"> or copied for use in other service specification templates in use in other home nations.</w:t>
                            </w:r>
                          </w:p>
                          <w:p w14:paraId="68B9F4FB" w14:textId="4018C228" w:rsidR="002F75E4" w:rsidRPr="002A0A10" w:rsidRDefault="002F75E4" w:rsidP="00C70314">
                            <w:pPr>
                              <w:pStyle w:val="NormalWeb"/>
                              <w:spacing w:before="0" w:beforeAutospacing="0" w:after="120" w:afterAutospacing="0"/>
                              <w:jc w:val="center"/>
                              <w:rPr>
                                <w:rFonts w:ascii="Verdana" w:hAnsi="Verdana"/>
                                <w:b/>
                                <w:i/>
                              </w:rPr>
                            </w:pPr>
                            <w:r w:rsidRPr="002A0A10">
                              <w:rPr>
                                <w:rFonts w:ascii="Verdana" w:hAnsi="Verdana" w:cs="Calibri"/>
                                <w:b/>
                                <w:i/>
                                <w:iCs/>
                                <w:color w:val="FFFFFF"/>
                                <w:sz w:val="22"/>
                                <w:szCs w:val="22"/>
                              </w:rPr>
                              <w:t>[Please delete this box when you use th</w:t>
                            </w:r>
                            <w:r w:rsidR="000E093F">
                              <w:rPr>
                                <w:rFonts w:ascii="Verdana" w:hAnsi="Verdana" w:cs="Calibri"/>
                                <w:b/>
                                <w:i/>
                                <w:iCs/>
                                <w:color w:val="FFFFFF"/>
                                <w:sz w:val="22"/>
                                <w:szCs w:val="22"/>
                              </w:rPr>
                              <w:t>is resource</w:t>
                            </w:r>
                            <w:r w:rsidRPr="002A0A10">
                              <w:rPr>
                                <w:rFonts w:ascii="Verdana" w:hAnsi="Verdana" w:cs="Calibri"/>
                                <w:b/>
                                <w:i/>
                                <w:iCs/>
                                <w:color w:val="FFFFFF"/>
                                <w:sz w:val="22"/>
                                <w:szCs w:val="22"/>
                              </w:rPr>
                              <w:t>]</w:t>
                            </w:r>
                          </w:p>
                          <w:p w14:paraId="40F82EBB" w14:textId="77777777" w:rsidR="002F75E4" w:rsidRPr="002A0A10" w:rsidRDefault="002F75E4" w:rsidP="00A273BC">
                            <w:pPr>
                              <w:autoSpaceDE w:val="0"/>
                              <w:autoSpaceDN w:val="0"/>
                              <w:adjustRightInd w:val="0"/>
                              <w:spacing w:after="120"/>
                              <w:rPr>
                                <w:rFonts w:ascii="Verdana" w:hAnsi="Verdana"/>
                                <w:b/>
                                <w:i/>
                                <w:color w:val="FFFFFF"/>
                                <w:lang w:val="en-GB"/>
                              </w:rPr>
                            </w:pPr>
                          </w:p>
                        </w:txbxContent>
                      </wps:txbx>
                      <wps:bodyPr rot="0" vert="horz" wrap="square" lIns="91440" tIns="45720" rIns="91440" bIns="45720" anchor="t" anchorCtr="0" upright="1">
                        <a:noAutofit/>
                      </wps:bodyPr>
                    </wps:wsp>
                  </a:graphicData>
                </a:graphic>
              </wp:inline>
            </w:drawing>
          </mc:Choice>
          <mc:Fallback>
            <w:pict>
              <v:shapetype w14:anchorId="09F2FE5C" id="_x0000_t202" coordsize="21600,21600" o:spt="202" path="m,l,21600r21600,l21600,xe">
                <v:stroke joinstyle="miter"/>
                <v:path gradientshapeok="t" o:connecttype="rect"/>
              </v:shapetype>
              <v:shape id="Text Box 2" o:spid="_x0000_s1026" type="#_x0000_t202" style="width:449.6pt;height:59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" fillcolor="#0d73a5">
                <v:textbox>
                  <w:txbxContent>
                    <w:p w14:paraId="65DF0B57" w14:textId="6E6F36B5" w:rsidR="002F75E4" w:rsidRPr="002A0A10" w:rsidRDefault="002F75E4" w:rsidP="00194D0B">
                      <w:pPr>
                        <w:pStyle w:val="NormalWeb"/>
                        <w:spacing w:before="0" w:beforeAutospacing="0" w:after="120" w:afterAutospacing="0"/>
                        <w:rPr>
                          <w:rFonts w:ascii="Verdana" w:hAnsi="Verdana"/>
                          <w:i/>
                        </w:rPr>
                      </w:pPr>
                      <w:r w:rsidRPr="002A0A10">
                        <w:rPr>
                          <w:rFonts w:ascii="Verdana" w:hAnsi="Verdana" w:cs="Calibri"/>
                          <w:b/>
                          <w:bCs/>
                          <w:i/>
                          <w:color w:val="FFFFFF"/>
                          <w:sz w:val="22"/>
                          <w:szCs w:val="22"/>
                          <w:u w:val="single"/>
                        </w:rPr>
                        <w:t xml:space="preserve">This </w:t>
                      </w:r>
                      <w:r>
                        <w:rPr>
                          <w:rFonts w:ascii="Verdana" w:hAnsi="Verdana" w:cs="Calibri"/>
                          <w:b/>
                          <w:bCs/>
                          <w:i/>
                          <w:color w:val="FFFFFF"/>
                          <w:sz w:val="22"/>
                          <w:szCs w:val="22"/>
                          <w:u w:val="single"/>
                        </w:rPr>
                        <w:t>resource:</w:t>
                      </w:r>
                    </w:p>
                    <w:p w14:paraId="38C2E884" w14:textId="6196F2C9" w:rsidR="002F75E4" w:rsidRPr="002A0A10" w:rsidRDefault="002F75E4" w:rsidP="00C70314">
                      <w:pPr>
                        <w:pStyle w:val="NormalWeb"/>
                        <w:spacing w:before="0" w:beforeAutospacing="0" w:after="120" w:afterAutospacing="0"/>
                        <w:jc w:val="both"/>
                        <w:rPr>
                          <w:rFonts w:ascii="Verdana" w:hAnsi="Verdana" w:cs="Calibri"/>
                          <w:i/>
                          <w:color w:val="FFFFFF"/>
                          <w:sz w:val="22"/>
                          <w:szCs w:val="22"/>
                        </w:rPr>
                      </w:pPr>
                      <w:r w:rsidRPr="002A0A10">
                        <w:rPr>
                          <w:rFonts w:ascii="Verdana" w:hAnsi="Verdana" w:cs="Calibri"/>
                          <w:i/>
                          <w:color w:val="FFFFFF"/>
                          <w:sz w:val="22"/>
                          <w:szCs w:val="22"/>
                        </w:rPr>
                        <w:t xml:space="preserve">This resource has been created by the </w:t>
                      </w:r>
                      <w:r>
                        <w:rPr>
                          <w:rFonts w:ascii="Verdana" w:hAnsi="Verdana" w:cs="Calibri"/>
                          <w:i/>
                          <w:color w:val="FFFFFF"/>
                          <w:sz w:val="22"/>
                          <w:szCs w:val="22"/>
                        </w:rPr>
                        <w:t>Royal</w:t>
                      </w:r>
                      <w:r w:rsidRPr="002A0A10">
                        <w:rPr>
                          <w:rFonts w:ascii="Verdana" w:hAnsi="Verdana" w:cs="Calibri"/>
                          <w:i/>
                          <w:color w:val="FFFFFF"/>
                          <w:sz w:val="22"/>
                          <w:szCs w:val="22"/>
                        </w:rPr>
                        <w:t xml:space="preserve"> Osteoporosis Society as part of the Fracture Liaison Service Implementation Toolkit (FLS-IT). The aim of the toolkit is to take some of the hard work out of establishing a new Fracture Liaison Service (FLS) or improving an existing one.</w:t>
                      </w:r>
                    </w:p>
                    <w:p w14:paraId="285ED69D" w14:textId="6CB5448A" w:rsidR="002F75E4" w:rsidRPr="002A0A10" w:rsidRDefault="002F75E4" w:rsidP="00C70314">
                      <w:pPr>
                        <w:pStyle w:val="NormalWeb"/>
                        <w:spacing w:before="0" w:beforeAutospacing="0" w:after="120" w:afterAutospacing="0"/>
                        <w:jc w:val="both"/>
                        <w:rPr>
                          <w:rFonts w:ascii="Verdana" w:hAnsi="Verdana" w:cs="Calibri"/>
                          <w:i/>
                          <w:color w:val="FFFFFF"/>
                          <w:sz w:val="22"/>
                          <w:szCs w:val="22"/>
                        </w:rPr>
                      </w:pPr>
                      <w:r w:rsidRPr="002A0A10">
                        <w:rPr>
                          <w:rFonts w:ascii="Verdana" w:hAnsi="Verdana" w:cs="Calibri"/>
                          <w:i/>
                          <w:color w:val="FFFFFF"/>
                          <w:sz w:val="22"/>
                          <w:szCs w:val="22"/>
                        </w:rPr>
                        <w:t xml:space="preserve">This </w:t>
                      </w:r>
                      <w:r>
                        <w:rPr>
                          <w:rFonts w:ascii="Verdana" w:hAnsi="Verdana" w:cs="Calibri"/>
                          <w:i/>
                          <w:color w:val="FFFFFF"/>
                          <w:sz w:val="22"/>
                          <w:szCs w:val="22"/>
                        </w:rPr>
                        <w:t>resource</w:t>
                      </w:r>
                      <w:r w:rsidRPr="002A0A10">
                        <w:rPr>
                          <w:rFonts w:ascii="Verdana" w:hAnsi="Verdana" w:cs="Calibri"/>
                          <w:i/>
                          <w:color w:val="FFFFFF"/>
                          <w:sz w:val="22"/>
                          <w:szCs w:val="22"/>
                        </w:rPr>
                        <w:t xml:space="preserve"> has been created by working professionals in the NHS in each of the four home nations and makes use of current policy and best practice. It has been designed to save the user the time and trouble of researching, </w:t>
                      </w:r>
                      <w:proofErr w:type="gramStart"/>
                      <w:r w:rsidRPr="002A0A10">
                        <w:rPr>
                          <w:rFonts w:ascii="Verdana" w:hAnsi="Verdana" w:cs="Calibri"/>
                          <w:i/>
                          <w:color w:val="FFFFFF"/>
                          <w:sz w:val="22"/>
                          <w:szCs w:val="22"/>
                        </w:rPr>
                        <w:t>drafting</w:t>
                      </w:r>
                      <w:proofErr w:type="gramEnd"/>
                      <w:r w:rsidRPr="002A0A10">
                        <w:rPr>
                          <w:rFonts w:ascii="Verdana" w:hAnsi="Verdana" w:cs="Calibri"/>
                          <w:i/>
                          <w:color w:val="FFFFFF"/>
                          <w:sz w:val="22"/>
                          <w:szCs w:val="22"/>
                        </w:rPr>
                        <w:t xml:space="preserve"> and editing a document or workbook from scratch. References have been included where relevant. </w:t>
                      </w:r>
                    </w:p>
                    <w:p w14:paraId="595C0386" w14:textId="40A1D495" w:rsidR="002F75E4" w:rsidRPr="002A0A10" w:rsidRDefault="002F75E4" w:rsidP="00C70314">
                      <w:pPr>
                        <w:pStyle w:val="NormalWeb"/>
                        <w:spacing w:before="0" w:beforeAutospacing="0" w:after="120" w:afterAutospacing="0"/>
                        <w:jc w:val="both"/>
                        <w:rPr>
                          <w:rFonts w:ascii="Verdana" w:hAnsi="Verdana" w:cs="Calibri"/>
                          <w:i/>
                          <w:color w:val="FFFFFF"/>
                          <w:sz w:val="22"/>
                          <w:szCs w:val="22"/>
                        </w:rPr>
                      </w:pPr>
                      <w:r w:rsidRPr="002A0A10">
                        <w:rPr>
                          <w:rFonts w:ascii="Verdana" w:hAnsi="Verdana" w:cs="Calibri"/>
                          <w:i/>
                          <w:color w:val="FFFFFF"/>
                          <w:sz w:val="22"/>
                          <w:szCs w:val="22"/>
                        </w:rPr>
                        <w:t xml:space="preserve">You are free to use, change, edit or adapt this template as you wish. We trust that you will find this tool useful; if you have any queries or would like to make any suggestions on how to improve it, please contact us at the </w:t>
                      </w:r>
                      <w:r>
                        <w:rPr>
                          <w:rFonts w:ascii="Verdana" w:hAnsi="Verdana" w:cs="Calibri"/>
                          <w:i/>
                          <w:color w:val="FFFFFF"/>
                          <w:sz w:val="22"/>
                          <w:szCs w:val="22"/>
                        </w:rPr>
                        <w:t>Royal</w:t>
                      </w:r>
                      <w:r w:rsidRPr="002A0A10">
                        <w:rPr>
                          <w:rFonts w:ascii="Verdana" w:hAnsi="Verdana" w:cs="Calibri"/>
                          <w:i/>
                          <w:color w:val="FFFFFF"/>
                          <w:sz w:val="22"/>
                          <w:szCs w:val="22"/>
                        </w:rPr>
                        <w:t xml:space="preserve"> Osteoporosis Society. If you would like to see or to download other tools, please go to: </w:t>
                      </w:r>
                      <w:hyperlink r:id="rId12" w:history="1">
                        <w:r w:rsidRPr="005D4760">
                          <w:rPr>
                            <w:rStyle w:val="Hyperlink"/>
                            <w:rFonts w:ascii="Verdana" w:hAnsi="Verdana" w:cs="Calibri"/>
                            <w:i/>
                            <w:sz w:val="22"/>
                            <w:szCs w:val="22"/>
                            <w:lang w:val="en-US"/>
                          </w:rPr>
                          <w:t>https://theros.org.uk/healthcare-professionals/fracture-liaison-services/implementation-toolkit/</w:t>
                        </w:r>
                      </w:hyperlink>
                    </w:p>
                    <w:p w14:paraId="30AF30A8" w14:textId="759030C0" w:rsidR="002F75E4" w:rsidRPr="002A0A10" w:rsidRDefault="002F75E4" w:rsidP="00194D0B">
                      <w:pPr>
                        <w:pStyle w:val="NormalWeb"/>
                        <w:spacing w:before="0" w:beforeAutospacing="0" w:after="120" w:afterAutospacing="0"/>
                        <w:rPr>
                          <w:rFonts w:ascii="Verdana" w:hAnsi="Verdana"/>
                          <w:b/>
                          <w:i/>
                          <w:u w:val="single"/>
                        </w:rPr>
                      </w:pPr>
                      <w:r w:rsidRPr="002A0A10">
                        <w:rPr>
                          <w:rFonts w:ascii="Verdana" w:hAnsi="Verdana" w:cs="Calibri"/>
                          <w:b/>
                          <w:i/>
                          <w:color w:val="FFFFFF"/>
                          <w:sz w:val="22"/>
                          <w:szCs w:val="22"/>
                          <w:u w:val="single"/>
                        </w:rPr>
                        <w:t>Disclaimer</w:t>
                      </w:r>
                    </w:p>
                    <w:p w14:paraId="4BEA7BF7" w14:textId="64A45273" w:rsidR="002F75E4" w:rsidRPr="002A0A10" w:rsidRDefault="002F75E4" w:rsidP="00C70314">
                      <w:pPr>
                        <w:pStyle w:val="NormalWeb"/>
                        <w:spacing w:before="0" w:beforeAutospacing="0" w:after="120" w:afterAutospacing="0"/>
                        <w:jc w:val="both"/>
                        <w:rPr>
                          <w:rFonts w:ascii="Verdana" w:hAnsi="Verdana" w:cs="Calibri"/>
                          <w:i/>
                          <w:color w:val="FFFFFF"/>
                          <w:sz w:val="22"/>
                          <w:szCs w:val="22"/>
                        </w:rPr>
                      </w:pPr>
                      <w:r w:rsidRPr="002A0A10">
                        <w:rPr>
                          <w:rFonts w:ascii="Verdana" w:hAnsi="Verdana" w:cs="Calibri"/>
                          <w:i/>
                          <w:color w:val="FFFFFF"/>
                          <w:sz w:val="22"/>
                          <w:szCs w:val="22"/>
                        </w:rPr>
                        <w:t>This</w:t>
                      </w:r>
                      <w:r>
                        <w:rPr>
                          <w:rFonts w:ascii="Verdana" w:hAnsi="Verdana" w:cs="Calibri"/>
                          <w:i/>
                          <w:color w:val="FFFFFF"/>
                          <w:sz w:val="22"/>
                          <w:szCs w:val="22"/>
                        </w:rPr>
                        <w:t xml:space="preserve"> resource</w:t>
                      </w:r>
                      <w:r w:rsidRPr="002A0A10">
                        <w:rPr>
                          <w:rFonts w:ascii="Verdana" w:hAnsi="Verdana" w:cs="Calibri"/>
                          <w:i/>
                          <w:color w:val="FFFFFF"/>
                          <w:sz w:val="22"/>
                          <w:szCs w:val="22"/>
                        </w:rPr>
                        <w:t xml:space="preserve"> is provided free as part of the FLS-IT by the </w:t>
                      </w:r>
                      <w:r>
                        <w:rPr>
                          <w:rFonts w:ascii="Verdana" w:hAnsi="Verdana" w:cs="Calibri"/>
                          <w:i/>
                          <w:color w:val="FFFFFF"/>
                          <w:sz w:val="22"/>
                          <w:szCs w:val="22"/>
                        </w:rPr>
                        <w:t>Royal</w:t>
                      </w:r>
                      <w:r w:rsidRPr="002A0A10">
                        <w:rPr>
                          <w:rFonts w:ascii="Verdana" w:hAnsi="Verdana" w:cs="Calibri"/>
                          <w:i/>
                          <w:color w:val="FFFFFF"/>
                          <w:sz w:val="22"/>
                          <w:szCs w:val="22"/>
                        </w:rPr>
                        <w:t xml:space="preserve"> Osteoporosis Society. This </w:t>
                      </w:r>
                      <w:r>
                        <w:rPr>
                          <w:rFonts w:ascii="Verdana" w:hAnsi="Verdana" w:cs="Calibri"/>
                          <w:i/>
                          <w:color w:val="FFFFFF"/>
                          <w:sz w:val="22"/>
                          <w:szCs w:val="22"/>
                        </w:rPr>
                        <w:t>resource</w:t>
                      </w:r>
                      <w:r w:rsidRPr="002A0A10">
                        <w:rPr>
                          <w:rFonts w:ascii="Verdana" w:hAnsi="Verdana" w:cs="Calibri"/>
                          <w:i/>
                          <w:color w:val="FFFFFF"/>
                          <w:sz w:val="22"/>
                          <w:szCs w:val="22"/>
                        </w:rPr>
                        <w:t xml:space="preserve"> does not represent the views of the </w:t>
                      </w:r>
                      <w:r>
                        <w:rPr>
                          <w:rFonts w:ascii="Verdana" w:hAnsi="Verdana" w:cs="Calibri"/>
                          <w:i/>
                          <w:color w:val="FFFFFF"/>
                          <w:sz w:val="22"/>
                          <w:szCs w:val="22"/>
                        </w:rPr>
                        <w:t>Royal</w:t>
                      </w:r>
                      <w:r w:rsidRPr="002A0A10">
                        <w:rPr>
                          <w:rFonts w:ascii="Verdana" w:hAnsi="Verdana" w:cs="Calibri"/>
                          <w:i/>
                          <w:color w:val="FFFFFF"/>
                          <w:sz w:val="22"/>
                          <w:szCs w:val="22"/>
                        </w:rPr>
                        <w:t xml:space="preserve"> Osteoporosis Society. Every effort has been made to make sure that the information contained within this document is accurate and in full compliance with UK law and with best practice at the time of writing. There is no guarantee as to the accuracy or reliability of any of the information contained in this </w:t>
                      </w:r>
                      <w:r>
                        <w:rPr>
                          <w:rFonts w:ascii="Verdana" w:hAnsi="Verdana" w:cs="Calibri"/>
                          <w:i/>
                          <w:color w:val="FFFFFF"/>
                          <w:sz w:val="22"/>
                          <w:szCs w:val="22"/>
                        </w:rPr>
                        <w:t>resource</w:t>
                      </w:r>
                      <w:r w:rsidRPr="002A0A10">
                        <w:rPr>
                          <w:rFonts w:ascii="Verdana" w:hAnsi="Verdana" w:cs="Calibri"/>
                          <w:i/>
                          <w:color w:val="FFFFFF"/>
                          <w:sz w:val="22"/>
                          <w:szCs w:val="22"/>
                        </w:rPr>
                        <w:t xml:space="preserve"> and </w:t>
                      </w:r>
                      <w:r>
                        <w:rPr>
                          <w:rFonts w:ascii="Verdana" w:hAnsi="Verdana" w:cs="Calibri"/>
                          <w:i/>
                          <w:color w:val="FFFFFF"/>
                          <w:sz w:val="22"/>
                          <w:szCs w:val="22"/>
                        </w:rPr>
                        <w:t>its use</w:t>
                      </w:r>
                      <w:r w:rsidRPr="002A0A10">
                        <w:rPr>
                          <w:rFonts w:ascii="Verdana" w:hAnsi="Verdana" w:cs="Calibri"/>
                          <w:i/>
                          <w:color w:val="FFFFFF"/>
                          <w:sz w:val="22"/>
                          <w:szCs w:val="22"/>
                        </w:rPr>
                        <w:t xml:space="preserve"> is entirely at the user’s risk and no liability whatsoever is accepted by the </w:t>
                      </w:r>
                      <w:r>
                        <w:rPr>
                          <w:rFonts w:ascii="Verdana" w:hAnsi="Verdana" w:cs="Calibri"/>
                          <w:i/>
                          <w:color w:val="FFFFFF"/>
                          <w:sz w:val="22"/>
                          <w:szCs w:val="22"/>
                        </w:rPr>
                        <w:t>Royal</w:t>
                      </w:r>
                      <w:r w:rsidRPr="002A0A10">
                        <w:rPr>
                          <w:rFonts w:ascii="Verdana" w:hAnsi="Verdana" w:cs="Calibri"/>
                          <w:i/>
                          <w:color w:val="FFFFFF"/>
                          <w:sz w:val="22"/>
                          <w:szCs w:val="22"/>
                        </w:rPr>
                        <w:t xml:space="preserve"> Osteoporosis Society.</w:t>
                      </w:r>
                    </w:p>
                    <w:p w14:paraId="60C3A587" w14:textId="03028D37" w:rsidR="002F75E4" w:rsidRPr="002A0A10" w:rsidRDefault="002F75E4" w:rsidP="00194D0B">
                      <w:pPr>
                        <w:pStyle w:val="NormalWeb"/>
                        <w:spacing w:before="0" w:beforeAutospacing="0" w:after="120" w:afterAutospacing="0"/>
                        <w:rPr>
                          <w:rFonts w:ascii="Verdana" w:hAnsi="Verdana"/>
                          <w:i/>
                        </w:rPr>
                      </w:pPr>
                      <w:r w:rsidRPr="002A0A10">
                        <w:rPr>
                          <w:rFonts w:ascii="Verdana" w:hAnsi="Verdana" w:cs="Calibri"/>
                          <w:b/>
                          <w:bCs/>
                          <w:i/>
                          <w:color w:val="FFFFFF"/>
                          <w:sz w:val="22"/>
                          <w:szCs w:val="22"/>
                          <w:u w:val="single"/>
                        </w:rPr>
                        <w:t>Instructions for use</w:t>
                      </w:r>
                    </w:p>
                    <w:p w14:paraId="4CB213D1" w14:textId="4503CBB7" w:rsidR="002F75E4" w:rsidRDefault="002F75E4" w:rsidP="00C70314">
                      <w:pPr>
                        <w:pStyle w:val="NormalWeb"/>
                        <w:spacing w:before="0" w:beforeAutospacing="0" w:after="120" w:afterAutospacing="0"/>
                        <w:jc w:val="both"/>
                        <w:rPr>
                          <w:rFonts w:ascii="Verdana" w:hAnsi="Verdana" w:cs="Calibri"/>
                          <w:i/>
                          <w:color w:val="FFFFFF"/>
                          <w:sz w:val="22"/>
                          <w:szCs w:val="22"/>
                        </w:rPr>
                      </w:pPr>
                      <w:r w:rsidRPr="002A0A10">
                        <w:rPr>
                          <w:rFonts w:ascii="Verdana" w:hAnsi="Verdana" w:cs="Calibri"/>
                          <w:i/>
                          <w:color w:val="FFFFFF"/>
                          <w:sz w:val="22"/>
                          <w:szCs w:val="22"/>
                        </w:rPr>
                        <w:t>Th</w:t>
                      </w:r>
                      <w:r>
                        <w:rPr>
                          <w:rFonts w:ascii="Verdana" w:hAnsi="Verdana" w:cs="Calibri"/>
                          <w:i/>
                          <w:color w:val="FFFFFF"/>
                          <w:sz w:val="22"/>
                          <w:szCs w:val="22"/>
                        </w:rPr>
                        <w:t>e resourc</w:t>
                      </w:r>
                      <w:r w:rsidRPr="002A0A10">
                        <w:rPr>
                          <w:rFonts w:ascii="Verdana" w:hAnsi="Verdana" w:cs="Calibri"/>
                          <w:i/>
                          <w:color w:val="FFFFFF"/>
                          <w:sz w:val="22"/>
                          <w:szCs w:val="22"/>
                        </w:rPr>
                        <w:t xml:space="preserve">e is fully editable. Formatting has been kept to a minimum to allow flexible use either editing this </w:t>
                      </w:r>
                      <w:r>
                        <w:rPr>
                          <w:rFonts w:ascii="Verdana" w:hAnsi="Verdana" w:cs="Calibri"/>
                          <w:i/>
                          <w:color w:val="FFFFFF"/>
                          <w:sz w:val="22"/>
                          <w:szCs w:val="22"/>
                        </w:rPr>
                        <w:t>document</w:t>
                      </w:r>
                      <w:r w:rsidRPr="002A0A10">
                        <w:rPr>
                          <w:rFonts w:ascii="Verdana" w:hAnsi="Verdana" w:cs="Calibri"/>
                          <w:i/>
                          <w:color w:val="FFFFFF"/>
                          <w:sz w:val="22"/>
                          <w:szCs w:val="22"/>
                        </w:rPr>
                        <w:t xml:space="preserve"> or copying material to use in local documents.  The </w:t>
                      </w:r>
                      <w:r>
                        <w:rPr>
                          <w:rFonts w:ascii="Verdana" w:hAnsi="Verdana" w:cs="Calibri"/>
                          <w:i/>
                          <w:color w:val="FFFFFF"/>
                          <w:sz w:val="22"/>
                          <w:szCs w:val="22"/>
                        </w:rPr>
                        <w:t>resource</w:t>
                      </w:r>
                      <w:r w:rsidRPr="002A0A10">
                        <w:rPr>
                          <w:rFonts w:ascii="Verdana" w:hAnsi="Verdana" w:cs="Calibri"/>
                          <w:i/>
                          <w:color w:val="FFFFFF"/>
                          <w:sz w:val="22"/>
                          <w:szCs w:val="22"/>
                        </w:rPr>
                        <w:t xml:space="preserve"> may include guidance on use and/or sections where local information may need to be entered. These have been highlighted </w:t>
                      </w:r>
                      <w:r w:rsidRPr="002A0A10">
                        <w:rPr>
                          <w:rFonts w:ascii="Verdana" w:hAnsi="Verdana" w:cs="Calibri"/>
                          <w:b/>
                          <w:i/>
                          <w:color w:val="FFFFFF"/>
                          <w:sz w:val="22"/>
                          <w:szCs w:val="22"/>
                        </w:rPr>
                        <w:t>[using bold text in square brackets]</w:t>
                      </w:r>
                      <w:r w:rsidRPr="002A0A10">
                        <w:rPr>
                          <w:rFonts w:ascii="Verdana" w:hAnsi="Verdana" w:cs="Calibri"/>
                          <w:i/>
                          <w:color w:val="FFFFFF"/>
                          <w:sz w:val="22"/>
                          <w:szCs w:val="22"/>
                        </w:rPr>
                        <w:t>. Please delete or overwrite these sections as you go along and make the necessary font or formatting changes.</w:t>
                      </w:r>
                    </w:p>
                    <w:p w14:paraId="3DB2629A" w14:textId="77777777" w:rsidR="002F75E4" w:rsidRDefault="002F75E4" w:rsidP="00C70314">
                      <w:pPr>
                        <w:pStyle w:val="NormalWeb"/>
                        <w:spacing w:before="0" w:beforeAutospacing="0" w:after="120" w:afterAutospacing="0"/>
                        <w:jc w:val="both"/>
                        <w:rPr>
                          <w:rFonts w:ascii="Verdana" w:hAnsi="Verdana" w:cs="Calibri"/>
                          <w:i/>
                          <w:color w:val="FFFFFF"/>
                          <w:sz w:val="22"/>
                          <w:szCs w:val="22"/>
                        </w:rPr>
                      </w:pPr>
                    </w:p>
                    <w:p w14:paraId="7F8A6D3E" w14:textId="06BCE59D" w:rsidR="002F75E4" w:rsidRPr="002A0A10" w:rsidRDefault="002F75E4" w:rsidP="00C70314">
                      <w:pPr>
                        <w:pStyle w:val="NormalWeb"/>
                        <w:spacing w:before="0" w:beforeAutospacing="0" w:after="120" w:afterAutospacing="0"/>
                        <w:jc w:val="both"/>
                        <w:rPr>
                          <w:rFonts w:ascii="Verdana" w:hAnsi="Verdana" w:cs="Calibri"/>
                          <w:i/>
                          <w:color w:val="FFFFFF"/>
                          <w:sz w:val="22"/>
                          <w:szCs w:val="22"/>
                        </w:rPr>
                      </w:pPr>
                      <w:r w:rsidRPr="00C70314">
                        <w:rPr>
                          <w:rFonts w:ascii="Verdana" w:hAnsi="Verdana" w:cs="Calibri"/>
                          <w:i/>
                          <w:color w:val="FFFFFF"/>
                          <w:sz w:val="22"/>
                          <w:szCs w:val="22"/>
                        </w:rPr>
                        <w:t xml:space="preserve">Note that this </w:t>
                      </w:r>
                      <w:r>
                        <w:rPr>
                          <w:rFonts w:ascii="Verdana" w:hAnsi="Verdana" w:cs="Calibri"/>
                          <w:i/>
                          <w:color w:val="FFFFFF"/>
                          <w:sz w:val="22"/>
                          <w:szCs w:val="22"/>
                        </w:rPr>
                        <w:t>resource</w:t>
                      </w:r>
                      <w:r w:rsidRPr="00C70314">
                        <w:rPr>
                          <w:rFonts w:ascii="Verdana" w:hAnsi="Verdana" w:cs="Calibri"/>
                          <w:i/>
                          <w:color w:val="FFFFFF"/>
                          <w:sz w:val="22"/>
                          <w:szCs w:val="22"/>
                        </w:rPr>
                        <w:t xml:space="preserve"> is based on the service specification in use in the NHS England as part of the standard NHS contract for acute services. Text may be edited, </w:t>
                      </w:r>
                      <w:proofErr w:type="gramStart"/>
                      <w:r w:rsidRPr="00C70314">
                        <w:rPr>
                          <w:rFonts w:ascii="Verdana" w:hAnsi="Verdana" w:cs="Calibri"/>
                          <w:i/>
                          <w:color w:val="FFFFFF"/>
                          <w:sz w:val="22"/>
                          <w:szCs w:val="22"/>
                        </w:rPr>
                        <w:t>amended</w:t>
                      </w:r>
                      <w:proofErr w:type="gramEnd"/>
                      <w:r w:rsidRPr="00C70314">
                        <w:rPr>
                          <w:rFonts w:ascii="Verdana" w:hAnsi="Verdana" w:cs="Calibri"/>
                          <w:i/>
                          <w:color w:val="FFFFFF"/>
                          <w:sz w:val="22"/>
                          <w:szCs w:val="22"/>
                        </w:rPr>
                        <w:t xml:space="preserve"> or copied for use in other service specification templates in use in other home nations.</w:t>
                      </w:r>
                    </w:p>
                    <w:p w14:paraId="68B9F4FB" w14:textId="4018C228" w:rsidR="002F75E4" w:rsidRPr="002A0A10" w:rsidRDefault="002F75E4" w:rsidP="00C70314">
                      <w:pPr>
                        <w:pStyle w:val="NormalWeb"/>
                        <w:spacing w:before="0" w:beforeAutospacing="0" w:after="120" w:afterAutospacing="0"/>
                        <w:jc w:val="center"/>
                        <w:rPr>
                          <w:rFonts w:ascii="Verdana" w:hAnsi="Verdana"/>
                          <w:b/>
                          <w:i/>
                        </w:rPr>
                      </w:pPr>
                      <w:r w:rsidRPr="002A0A10">
                        <w:rPr>
                          <w:rFonts w:ascii="Verdana" w:hAnsi="Verdana" w:cs="Calibri"/>
                          <w:b/>
                          <w:i/>
                          <w:iCs/>
                          <w:color w:val="FFFFFF"/>
                          <w:sz w:val="22"/>
                          <w:szCs w:val="22"/>
                        </w:rPr>
                        <w:t>[Please delete this box when you use th</w:t>
                      </w:r>
                      <w:r w:rsidR="000E093F">
                        <w:rPr>
                          <w:rFonts w:ascii="Verdana" w:hAnsi="Verdana" w:cs="Calibri"/>
                          <w:b/>
                          <w:i/>
                          <w:iCs/>
                          <w:color w:val="FFFFFF"/>
                          <w:sz w:val="22"/>
                          <w:szCs w:val="22"/>
                        </w:rPr>
                        <w:t>is resource</w:t>
                      </w:r>
                      <w:r w:rsidRPr="002A0A10">
                        <w:rPr>
                          <w:rFonts w:ascii="Verdana" w:hAnsi="Verdana" w:cs="Calibri"/>
                          <w:b/>
                          <w:i/>
                          <w:iCs/>
                          <w:color w:val="FFFFFF"/>
                          <w:sz w:val="22"/>
                          <w:szCs w:val="22"/>
                        </w:rPr>
                        <w:t>]</w:t>
                      </w:r>
                    </w:p>
                    <w:p w14:paraId="40F82EBB" w14:textId="77777777" w:rsidR="002F75E4" w:rsidRPr="002A0A10" w:rsidRDefault="002F75E4" w:rsidP="00A273BC">
                      <w:pPr>
                        <w:autoSpaceDE w:val="0"/>
                        <w:autoSpaceDN w:val="0"/>
                        <w:adjustRightInd w:val="0"/>
                        <w:spacing w:after="120"/>
                        <w:rPr>
                          <w:rFonts w:ascii="Verdana" w:hAnsi="Verdana"/>
                          <w:b/>
                          <w:i/>
                          <w:color w:val="FFFFFF"/>
                          <w:lang w:val="en-GB"/>
                        </w:rPr>
                      </w:pPr>
                    </w:p>
                  </w:txbxContent>
                </v:textbox>
                <w10:anchorlock/>
              </v:shape>
            </w:pict>
          </mc:Fallback>
        </mc:AlternateContent>
      </w:r>
    </w:p>
    <w:p w14:paraId="5E844083" w14:textId="4E436CBF" w:rsidR="00E428DE" w:rsidRPr="00BB3B60" w:rsidRDefault="00E428DE" w:rsidP="00075A83">
      <w:pPr>
        <w:spacing w:after="0"/>
        <w:jc w:val="both"/>
        <w:rPr>
          <w:rFonts w:ascii="Verdana" w:hAnsi="Verdana" w:cs="Arial"/>
          <w:sz w:val="22"/>
          <w:szCs w:val="22"/>
          <w:lang w:val="en-GB"/>
        </w:rPr>
      </w:pPr>
    </w:p>
    <w:p w14:paraId="0BAFB29B" w14:textId="3A790F69" w:rsidR="00C70314" w:rsidRPr="00BB3B60" w:rsidRDefault="00C70314" w:rsidP="00075A83">
      <w:pPr>
        <w:spacing w:after="0"/>
        <w:jc w:val="both"/>
        <w:rPr>
          <w:rFonts w:ascii="Verdana" w:hAnsi="Verdana" w:cs="Arial"/>
          <w:sz w:val="22"/>
          <w:szCs w:val="22"/>
          <w:lang w:val="en-GB"/>
        </w:rPr>
      </w:pPr>
    </w:p>
    <w:p w14:paraId="51511053" w14:textId="43704ED1" w:rsidR="00C70314" w:rsidRPr="00BB3B60" w:rsidRDefault="00C70314" w:rsidP="00075A83">
      <w:pPr>
        <w:spacing w:after="0"/>
        <w:jc w:val="both"/>
        <w:rPr>
          <w:rFonts w:ascii="Verdana" w:hAnsi="Verdana" w:cs="Arial"/>
          <w:sz w:val="22"/>
          <w:szCs w:val="22"/>
          <w:lang w:val="en-GB"/>
        </w:rPr>
      </w:pPr>
    </w:p>
    <w:p w14:paraId="528DA1F8" w14:textId="77777777" w:rsidR="00C70314" w:rsidRPr="00BB3B60" w:rsidRDefault="00C70314" w:rsidP="003726FE">
      <w:pPr>
        <w:pStyle w:val="ListParagraph"/>
        <w:numPr>
          <w:ilvl w:val="0"/>
          <w:numId w:val="4"/>
        </w:numPr>
        <w:shd w:val="clear" w:color="auto" w:fill="FFFFFF" w:themeFill="background1"/>
        <w:jc w:val="both"/>
        <w:rPr>
          <w:rFonts w:ascii="Verdana" w:hAnsi="Verdana" w:cs="Arial"/>
          <w:i/>
          <w:sz w:val="22"/>
          <w:szCs w:val="22"/>
        </w:rPr>
      </w:pPr>
      <w:r w:rsidRPr="00BB3B60">
        <w:rPr>
          <w:rFonts w:ascii="Verdana" w:hAnsi="Verdana" w:cs="Arial"/>
          <w:i/>
          <w:sz w:val="22"/>
          <w:szCs w:val="22"/>
        </w:rPr>
        <w:lastRenderedPageBreak/>
        <w:t>Mandatory headings 1-4: mandatory but detail for local determination and agreement.</w:t>
      </w:r>
    </w:p>
    <w:p w14:paraId="1E8B8189" w14:textId="77777777" w:rsidR="00C70314" w:rsidRPr="00BB3B60" w:rsidRDefault="00C70314" w:rsidP="003726FE">
      <w:pPr>
        <w:pStyle w:val="ListParagraph"/>
        <w:numPr>
          <w:ilvl w:val="0"/>
          <w:numId w:val="4"/>
        </w:numPr>
        <w:shd w:val="clear" w:color="auto" w:fill="FFFFFF" w:themeFill="background1"/>
        <w:jc w:val="both"/>
        <w:rPr>
          <w:rFonts w:ascii="Verdana" w:hAnsi="Verdana" w:cs="Arial"/>
          <w:i/>
          <w:sz w:val="22"/>
          <w:szCs w:val="22"/>
        </w:rPr>
      </w:pPr>
      <w:r w:rsidRPr="00BB3B60">
        <w:rPr>
          <w:rFonts w:ascii="Verdana" w:hAnsi="Verdana" w:cs="Arial"/>
          <w:i/>
          <w:sz w:val="22"/>
          <w:szCs w:val="22"/>
        </w:rPr>
        <w:t>Optional headings 5-7: optional to use, detail for local determination and agreement.</w:t>
      </w:r>
    </w:p>
    <w:p w14:paraId="68F52176" w14:textId="4DF75380" w:rsidR="00C70314" w:rsidRPr="00BB3B60" w:rsidRDefault="00C70314" w:rsidP="003726FE">
      <w:pPr>
        <w:pStyle w:val="ListParagraph"/>
        <w:numPr>
          <w:ilvl w:val="0"/>
          <w:numId w:val="4"/>
        </w:numPr>
        <w:shd w:val="clear" w:color="auto" w:fill="FFFFFF" w:themeFill="background1"/>
        <w:jc w:val="both"/>
        <w:rPr>
          <w:rFonts w:ascii="Verdana" w:hAnsi="Verdana" w:cs="Arial"/>
          <w:i/>
          <w:sz w:val="22"/>
          <w:szCs w:val="22"/>
        </w:rPr>
      </w:pPr>
      <w:r w:rsidRPr="00BB3B60">
        <w:rPr>
          <w:rFonts w:ascii="Verdana" w:hAnsi="Verdana" w:cs="Arial"/>
          <w:i/>
          <w:sz w:val="22"/>
          <w:szCs w:val="22"/>
        </w:rPr>
        <w:t>All subheadings for local determination and agreement.</w:t>
      </w:r>
    </w:p>
    <w:p w14:paraId="468C880F" w14:textId="77777777" w:rsidR="00C70314" w:rsidRPr="00BB3B60" w:rsidRDefault="00C70314" w:rsidP="00075A83">
      <w:pPr>
        <w:spacing w:after="0"/>
        <w:jc w:val="both"/>
        <w:rPr>
          <w:rFonts w:ascii="Verdana" w:hAnsi="Verdana"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848"/>
      </w:tblGrid>
      <w:tr w:rsidR="00075A83" w:rsidRPr="00BB3B60" w14:paraId="7250C6FD" w14:textId="77777777" w:rsidTr="00E3678F">
        <w:tc>
          <w:tcPr>
            <w:tcW w:w="2970" w:type="dxa"/>
            <w:shd w:val="clear" w:color="auto" w:fill="595959"/>
          </w:tcPr>
          <w:p w14:paraId="12ABBF07" w14:textId="77777777" w:rsidR="00075A83" w:rsidRPr="00BB3B60" w:rsidRDefault="00075A83" w:rsidP="006065E7">
            <w:pPr>
              <w:spacing w:after="0" w:line="360" w:lineRule="auto"/>
              <w:rPr>
                <w:rFonts w:ascii="Verdana" w:hAnsi="Verdana" w:cs="Arial"/>
                <w:b/>
                <w:color w:val="F79646"/>
                <w:sz w:val="22"/>
                <w:szCs w:val="22"/>
                <w:lang w:val="en-GB"/>
              </w:rPr>
            </w:pPr>
            <w:r w:rsidRPr="00BB3B60">
              <w:rPr>
                <w:rFonts w:ascii="Verdana" w:hAnsi="Verdana" w:cs="Arial"/>
                <w:b/>
                <w:color w:val="F79646"/>
                <w:sz w:val="22"/>
                <w:szCs w:val="22"/>
                <w:lang w:val="en-GB"/>
              </w:rPr>
              <w:t>Service Specification No.</w:t>
            </w:r>
          </w:p>
        </w:tc>
        <w:tc>
          <w:tcPr>
            <w:tcW w:w="5848" w:type="dxa"/>
            <w:shd w:val="clear" w:color="auto" w:fill="auto"/>
            <w:vAlign w:val="center"/>
          </w:tcPr>
          <w:p w14:paraId="61CC366C" w14:textId="73011915" w:rsidR="00075A83" w:rsidRPr="00BB3B60" w:rsidRDefault="00F647C4" w:rsidP="00075A83">
            <w:pPr>
              <w:spacing w:after="0"/>
              <w:rPr>
                <w:rFonts w:ascii="Verdana" w:hAnsi="Verdana" w:cs="Arial"/>
                <w:b/>
                <w:sz w:val="22"/>
                <w:szCs w:val="22"/>
                <w:lang w:val="en-GB"/>
              </w:rPr>
            </w:pPr>
            <w:r w:rsidRPr="00BB3B60">
              <w:rPr>
                <w:rFonts w:ascii="Verdana" w:hAnsi="Verdana" w:cs="Arial"/>
                <w:b/>
                <w:sz w:val="22"/>
                <w:szCs w:val="22"/>
                <w:lang w:val="en-GB"/>
              </w:rPr>
              <w:t>[insert Spec No here]</w:t>
            </w:r>
          </w:p>
        </w:tc>
      </w:tr>
      <w:tr w:rsidR="00075A83" w:rsidRPr="00BB3B60" w14:paraId="29EDCD5A" w14:textId="77777777" w:rsidTr="00E3678F">
        <w:tc>
          <w:tcPr>
            <w:tcW w:w="2970" w:type="dxa"/>
            <w:shd w:val="clear" w:color="auto" w:fill="595959"/>
          </w:tcPr>
          <w:p w14:paraId="1FEEDE7C" w14:textId="77777777" w:rsidR="00075A83" w:rsidRPr="00BB3B60" w:rsidRDefault="00075A83" w:rsidP="006065E7">
            <w:pPr>
              <w:spacing w:after="0" w:line="360" w:lineRule="auto"/>
              <w:rPr>
                <w:rFonts w:ascii="Verdana" w:hAnsi="Verdana" w:cs="Arial"/>
                <w:b/>
                <w:color w:val="F79646"/>
                <w:sz w:val="22"/>
                <w:szCs w:val="22"/>
                <w:lang w:val="en-GB"/>
              </w:rPr>
            </w:pPr>
            <w:r w:rsidRPr="00BB3B60">
              <w:rPr>
                <w:rFonts w:ascii="Verdana" w:hAnsi="Verdana" w:cs="Arial"/>
                <w:b/>
                <w:color w:val="F79646"/>
                <w:sz w:val="22"/>
                <w:szCs w:val="22"/>
                <w:lang w:val="en-GB"/>
              </w:rPr>
              <w:t>Service</w:t>
            </w:r>
          </w:p>
        </w:tc>
        <w:tc>
          <w:tcPr>
            <w:tcW w:w="5848" w:type="dxa"/>
            <w:shd w:val="clear" w:color="auto" w:fill="auto"/>
            <w:vAlign w:val="center"/>
          </w:tcPr>
          <w:p w14:paraId="29D9F737" w14:textId="58DD7242" w:rsidR="00075A83" w:rsidRPr="00BB3B60" w:rsidRDefault="00E846D4" w:rsidP="00075A83">
            <w:pPr>
              <w:spacing w:after="0"/>
              <w:rPr>
                <w:rFonts w:ascii="Verdana" w:hAnsi="Verdana" w:cs="Arial"/>
                <w:b/>
                <w:sz w:val="22"/>
                <w:szCs w:val="22"/>
                <w:lang w:val="en-GB"/>
              </w:rPr>
            </w:pPr>
            <w:r w:rsidRPr="00BB3B60">
              <w:rPr>
                <w:rFonts w:ascii="Verdana" w:hAnsi="Verdana" w:cs="Arial"/>
                <w:b/>
                <w:sz w:val="22"/>
                <w:szCs w:val="22"/>
                <w:lang w:val="en-GB"/>
              </w:rPr>
              <w:t>Fracture Liaison Service</w:t>
            </w:r>
          </w:p>
        </w:tc>
      </w:tr>
      <w:tr w:rsidR="00075A83" w:rsidRPr="00BB3B60" w14:paraId="1ED98AE7" w14:textId="77777777" w:rsidTr="00E3678F">
        <w:tc>
          <w:tcPr>
            <w:tcW w:w="2970" w:type="dxa"/>
            <w:shd w:val="clear" w:color="auto" w:fill="595959"/>
          </w:tcPr>
          <w:p w14:paraId="22EBBD67" w14:textId="77777777" w:rsidR="00075A83" w:rsidRPr="00BB3B60" w:rsidRDefault="00075A83" w:rsidP="006065E7">
            <w:pPr>
              <w:spacing w:after="0" w:line="360" w:lineRule="auto"/>
              <w:rPr>
                <w:rFonts w:ascii="Verdana" w:hAnsi="Verdana" w:cs="Arial"/>
                <w:b/>
                <w:color w:val="F79646"/>
                <w:sz w:val="22"/>
                <w:szCs w:val="22"/>
                <w:lang w:val="en-GB"/>
              </w:rPr>
            </w:pPr>
            <w:r w:rsidRPr="00BB3B60">
              <w:rPr>
                <w:rFonts w:ascii="Verdana" w:hAnsi="Verdana" w:cs="Arial"/>
                <w:b/>
                <w:color w:val="F79646"/>
                <w:sz w:val="22"/>
                <w:szCs w:val="22"/>
                <w:lang w:val="en-GB"/>
              </w:rPr>
              <w:t>Commissioner Lead</w:t>
            </w:r>
          </w:p>
        </w:tc>
        <w:tc>
          <w:tcPr>
            <w:tcW w:w="5848" w:type="dxa"/>
            <w:shd w:val="clear" w:color="auto" w:fill="auto"/>
            <w:vAlign w:val="center"/>
          </w:tcPr>
          <w:p w14:paraId="48CDEBBD" w14:textId="77777777" w:rsidR="00075A83" w:rsidRPr="00BB3B60" w:rsidRDefault="00CA0E04" w:rsidP="00075A83">
            <w:pPr>
              <w:spacing w:after="0"/>
              <w:rPr>
                <w:rFonts w:ascii="Verdana" w:hAnsi="Verdana" w:cs="Arial"/>
                <w:b/>
                <w:sz w:val="22"/>
                <w:szCs w:val="22"/>
                <w:lang w:val="en-GB"/>
              </w:rPr>
            </w:pPr>
            <w:r w:rsidRPr="00BB3B60">
              <w:rPr>
                <w:rFonts w:ascii="Verdana" w:hAnsi="Verdana" w:cs="Arial"/>
                <w:b/>
                <w:sz w:val="22"/>
                <w:szCs w:val="22"/>
                <w:lang w:val="en-GB"/>
              </w:rPr>
              <w:t>[</w:t>
            </w:r>
            <w:r w:rsidR="0056267A" w:rsidRPr="00BB3B60">
              <w:rPr>
                <w:rFonts w:ascii="Verdana" w:hAnsi="Verdana" w:cs="Arial"/>
                <w:b/>
                <w:sz w:val="22"/>
                <w:szCs w:val="22"/>
                <w:lang w:val="en-GB"/>
              </w:rPr>
              <w:t>insert name of lead commissioner</w:t>
            </w:r>
            <w:r w:rsidRPr="00BB3B60">
              <w:rPr>
                <w:rFonts w:ascii="Verdana" w:hAnsi="Verdana" w:cs="Arial"/>
                <w:b/>
                <w:sz w:val="22"/>
                <w:szCs w:val="22"/>
                <w:lang w:val="en-GB"/>
              </w:rPr>
              <w:t>]</w:t>
            </w:r>
          </w:p>
        </w:tc>
      </w:tr>
      <w:tr w:rsidR="00075A83" w:rsidRPr="00BB3B60" w14:paraId="4586737A" w14:textId="77777777" w:rsidTr="00E3678F">
        <w:tc>
          <w:tcPr>
            <w:tcW w:w="2970" w:type="dxa"/>
            <w:shd w:val="clear" w:color="auto" w:fill="595959"/>
          </w:tcPr>
          <w:p w14:paraId="1AB28036" w14:textId="77777777" w:rsidR="00075A83" w:rsidRPr="00BB3B60" w:rsidRDefault="00075A83" w:rsidP="006065E7">
            <w:pPr>
              <w:spacing w:after="0" w:line="360" w:lineRule="auto"/>
              <w:rPr>
                <w:rFonts w:ascii="Verdana" w:hAnsi="Verdana" w:cs="Arial"/>
                <w:b/>
                <w:color w:val="F79646"/>
                <w:sz w:val="22"/>
                <w:szCs w:val="22"/>
                <w:lang w:val="en-GB"/>
              </w:rPr>
            </w:pPr>
            <w:r w:rsidRPr="00BB3B60">
              <w:rPr>
                <w:rFonts w:ascii="Verdana" w:hAnsi="Verdana" w:cs="Arial"/>
                <w:b/>
                <w:color w:val="F79646"/>
                <w:sz w:val="22"/>
                <w:szCs w:val="22"/>
                <w:lang w:val="en-GB"/>
              </w:rPr>
              <w:t>Provider Lead</w:t>
            </w:r>
          </w:p>
        </w:tc>
        <w:tc>
          <w:tcPr>
            <w:tcW w:w="5848" w:type="dxa"/>
            <w:shd w:val="clear" w:color="auto" w:fill="auto"/>
            <w:vAlign w:val="center"/>
          </w:tcPr>
          <w:p w14:paraId="4CED4540" w14:textId="77777777" w:rsidR="00075A83" w:rsidRPr="00BB3B60" w:rsidRDefault="00CA0E04" w:rsidP="00075A83">
            <w:pPr>
              <w:spacing w:after="0"/>
              <w:rPr>
                <w:rFonts w:ascii="Verdana" w:hAnsi="Verdana" w:cs="Arial"/>
                <w:b/>
                <w:sz w:val="22"/>
                <w:szCs w:val="22"/>
                <w:lang w:val="en-GB"/>
              </w:rPr>
            </w:pPr>
            <w:r w:rsidRPr="00BB3B60">
              <w:rPr>
                <w:rFonts w:ascii="Verdana" w:hAnsi="Verdana" w:cs="Arial"/>
                <w:b/>
                <w:sz w:val="22"/>
                <w:szCs w:val="22"/>
                <w:lang w:val="en-GB"/>
              </w:rPr>
              <w:t>[</w:t>
            </w:r>
            <w:r w:rsidR="0056267A" w:rsidRPr="00BB3B60">
              <w:rPr>
                <w:rFonts w:ascii="Verdana" w:hAnsi="Verdana" w:cs="Arial"/>
                <w:b/>
                <w:sz w:val="22"/>
                <w:szCs w:val="22"/>
                <w:lang w:val="en-GB"/>
              </w:rPr>
              <w:t>insert name of lead clinician</w:t>
            </w:r>
            <w:r w:rsidRPr="00BB3B60">
              <w:rPr>
                <w:rFonts w:ascii="Verdana" w:hAnsi="Verdana" w:cs="Arial"/>
                <w:b/>
                <w:sz w:val="22"/>
                <w:szCs w:val="22"/>
                <w:lang w:val="en-GB"/>
              </w:rPr>
              <w:t>]</w:t>
            </w:r>
          </w:p>
        </w:tc>
      </w:tr>
      <w:tr w:rsidR="00075A83" w:rsidRPr="00BB3B60" w14:paraId="1143A683" w14:textId="77777777" w:rsidTr="00E3678F">
        <w:tc>
          <w:tcPr>
            <w:tcW w:w="2970" w:type="dxa"/>
            <w:shd w:val="clear" w:color="auto" w:fill="595959"/>
          </w:tcPr>
          <w:p w14:paraId="5208F73F" w14:textId="77777777" w:rsidR="00075A83" w:rsidRPr="00BB3B60" w:rsidRDefault="00075A83" w:rsidP="006065E7">
            <w:pPr>
              <w:spacing w:after="0" w:line="360" w:lineRule="auto"/>
              <w:rPr>
                <w:rFonts w:ascii="Verdana" w:hAnsi="Verdana" w:cs="Arial"/>
                <w:b/>
                <w:color w:val="F79646"/>
                <w:sz w:val="22"/>
                <w:szCs w:val="22"/>
                <w:lang w:val="en-GB"/>
              </w:rPr>
            </w:pPr>
            <w:r w:rsidRPr="00BB3B60">
              <w:rPr>
                <w:rFonts w:ascii="Verdana" w:hAnsi="Verdana" w:cs="Arial"/>
                <w:b/>
                <w:color w:val="F79646"/>
                <w:sz w:val="22"/>
                <w:szCs w:val="22"/>
                <w:lang w:val="en-GB"/>
              </w:rPr>
              <w:t>Period</w:t>
            </w:r>
          </w:p>
        </w:tc>
        <w:tc>
          <w:tcPr>
            <w:tcW w:w="5848" w:type="dxa"/>
            <w:shd w:val="clear" w:color="auto" w:fill="auto"/>
            <w:vAlign w:val="center"/>
          </w:tcPr>
          <w:p w14:paraId="3D020341" w14:textId="77777777" w:rsidR="00075A83" w:rsidRPr="00BB3B60" w:rsidRDefault="00CA0E04" w:rsidP="00075A83">
            <w:pPr>
              <w:spacing w:after="0"/>
              <w:rPr>
                <w:rFonts w:ascii="Verdana" w:hAnsi="Verdana" w:cs="Arial"/>
                <w:b/>
                <w:sz w:val="22"/>
                <w:szCs w:val="22"/>
                <w:lang w:val="en-GB"/>
              </w:rPr>
            </w:pPr>
            <w:r w:rsidRPr="00BB3B60">
              <w:rPr>
                <w:rFonts w:ascii="Verdana" w:hAnsi="Verdana" w:cs="Arial"/>
                <w:b/>
                <w:sz w:val="22"/>
                <w:szCs w:val="22"/>
                <w:lang w:val="en-GB"/>
              </w:rPr>
              <w:t>[</w:t>
            </w:r>
            <w:r w:rsidR="0056267A" w:rsidRPr="00BB3B60">
              <w:rPr>
                <w:rFonts w:ascii="Verdana" w:hAnsi="Verdana" w:cs="Arial"/>
                <w:b/>
                <w:sz w:val="22"/>
                <w:szCs w:val="22"/>
                <w:lang w:val="en-GB"/>
              </w:rPr>
              <w:t>insert time period</w:t>
            </w:r>
            <w:r w:rsidRPr="00BB3B60">
              <w:rPr>
                <w:rFonts w:ascii="Verdana" w:hAnsi="Verdana" w:cs="Arial"/>
                <w:b/>
                <w:sz w:val="22"/>
                <w:szCs w:val="22"/>
                <w:lang w:val="en-GB"/>
              </w:rPr>
              <w:t>]</w:t>
            </w:r>
          </w:p>
        </w:tc>
      </w:tr>
      <w:tr w:rsidR="00075A83" w:rsidRPr="00BB3B60" w14:paraId="68CD0E72" w14:textId="77777777" w:rsidTr="00E3678F">
        <w:tc>
          <w:tcPr>
            <w:tcW w:w="2970" w:type="dxa"/>
            <w:shd w:val="clear" w:color="auto" w:fill="595959"/>
          </w:tcPr>
          <w:p w14:paraId="6B57B785" w14:textId="77777777" w:rsidR="00075A83" w:rsidRPr="00BB3B60" w:rsidRDefault="00075A83" w:rsidP="006065E7">
            <w:pPr>
              <w:spacing w:after="0" w:line="360" w:lineRule="auto"/>
              <w:rPr>
                <w:rFonts w:ascii="Verdana" w:hAnsi="Verdana" w:cs="Arial"/>
                <w:b/>
                <w:color w:val="F79646"/>
                <w:sz w:val="22"/>
                <w:szCs w:val="22"/>
                <w:lang w:val="en-GB"/>
              </w:rPr>
            </w:pPr>
            <w:r w:rsidRPr="00BB3B60">
              <w:rPr>
                <w:rFonts w:ascii="Verdana" w:hAnsi="Verdana" w:cs="Arial"/>
                <w:b/>
                <w:color w:val="F79646"/>
                <w:sz w:val="22"/>
                <w:szCs w:val="22"/>
                <w:lang w:val="en-GB"/>
              </w:rPr>
              <w:t>Date of Review</w:t>
            </w:r>
          </w:p>
        </w:tc>
        <w:tc>
          <w:tcPr>
            <w:tcW w:w="5848" w:type="dxa"/>
            <w:shd w:val="clear" w:color="auto" w:fill="auto"/>
            <w:vAlign w:val="center"/>
          </w:tcPr>
          <w:p w14:paraId="1F28518B" w14:textId="77777777" w:rsidR="00075A83" w:rsidRPr="00BB3B60" w:rsidRDefault="00CA0E04" w:rsidP="00075A83">
            <w:pPr>
              <w:spacing w:after="0"/>
              <w:rPr>
                <w:rFonts w:ascii="Verdana" w:hAnsi="Verdana" w:cs="Arial"/>
                <w:b/>
                <w:sz w:val="22"/>
                <w:szCs w:val="22"/>
                <w:lang w:val="en-GB"/>
              </w:rPr>
            </w:pPr>
            <w:r w:rsidRPr="00BB3B60">
              <w:rPr>
                <w:rFonts w:ascii="Verdana" w:hAnsi="Verdana" w:cs="Arial"/>
                <w:b/>
                <w:sz w:val="22"/>
                <w:szCs w:val="22"/>
                <w:lang w:val="en-GB"/>
              </w:rPr>
              <w:t>[</w:t>
            </w:r>
            <w:r w:rsidR="0056267A" w:rsidRPr="00BB3B60">
              <w:rPr>
                <w:rFonts w:ascii="Verdana" w:hAnsi="Verdana" w:cs="Arial"/>
                <w:b/>
                <w:sz w:val="22"/>
                <w:szCs w:val="22"/>
                <w:lang w:val="en-GB"/>
              </w:rPr>
              <w:t>insert review date</w:t>
            </w:r>
            <w:r w:rsidRPr="00BB3B60">
              <w:rPr>
                <w:rFonts w:ascii="Verdana" w:hAnsi="Verdana" w:cs="Arial"/>
                <w:b/>
                <w:sz w:val="22"/>
                <w:szCs w:val="22"/>
                <w:lang w:val="en-GB"/>
              </w:rPr>
              <w:t>]</w:t>
            </w:r>
          </w:p>
        </w:tc>
      </w:tr>
    </w:tbl>
    <w:p w14:paraId="1DB01A29" w14:textId="77777777" w:rsidR="00075A83" w:rsidRPr="00BB3B60" w:rsidRDefault="00075A83" w:rsidP="00075A83">
      <w:pPr>
        <w:spacing w:after="0"/>
        <w:jc w:val="center"/>
        <w:rPr>
          <w:rFonts w:ascii="Verdana" w:hAnsi="Verdana"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075A83" w:rsidRPr="00BB3B60" w14:paraId="78261167" w14:textId="77777777" w:rsidTr="344A66DE">
        <w:trPr>
          <w:trHeight w:val="121"/>
        </w:trPr>
        <w:tc>
          <w:tcPr>
            <w:tcW w:w="8908" w:type="dxa"/>
            <w:shd w:val="clear" w:color="auto" w:fill="595959" w:themeFill="text1" w:themeFillTint="A6"/>
          </w:tcPr>
          <w:p w14:paraId="07E85C35" w14:textId="77777777" w:rsidR="00075A83" w:rsidRPr="00BB3B60" w:rsidRDefault="00075A83" w:rsidP="007759C1">
            <w:pPr>
              <w:pStyle w:val="Mainheading"/>
              <w:rPr>
                <w:rFonts w:ascii="Verdana" w:hAnsi="Verdana"/>
                <w:sz w:val="22"/>
                <w:szCs w:val="22"/>
              </w:rPr>
            </w:pPr>
            <w:r w:rsidRPr="00BB3B60">
              <w:rPr>
                <w:rFonts w:ascii="Verdana" w:hAnsi="Verdana"/>
                <w:sz w:val="22"/>
                <w:szCs w:val="22"/>
              </w:rPr>
              <w:t>1.</w:t>
            </w:r>
            <w:r w:rsidRPr="00BB3B60">
              <w:rPr>
                <w:rFonts w:ascii="Verdana" w:hAnsi="Verdana"/>
                <w:sz w:val="22"/>
                <w:szCs w:val="22"/>
              </w:rPr>
              <w:tab/>
              <w:t>Population Needs</w:t>
            </w:r>
          </w:p>
        </w:tc>
      </w:tr>
      <w:tr w:rsidR="00075A83" w:rsidRPr="00BB3B60" w14:paraId="7A69B4B1" w14:textId="77777777" w:rsidTr="344A66DE">
        <w:trPr>
          <w:trHeight w:val="121"/>
        </w:trPr>
        <w:tc>
          <w:tcPr>
            <w:tcW w:w="8908" w:type="dxa"/>
            <w:shd w:val="clear" w:color="auto" w:fill="auto"/>
          </w:tcPr>
          <w:p w14:paraId="67768670" w14:textId="3A33C3CC" w:rsidR="00051C41" w:rsidRPr="00560961" w:rsidRDefault="00246A4E" w:rsidP="00F43AE8">
            <w:pPr>
              <w:pStyle w:val="Sub-heading"/>
              <w:numPr>
                <w:ilvl w:val="0"/>
                <w:numId w:val="0"/>
              </w:numPr>
              <w:ind w:left="357" w:hanging="357"/>
              <w:rPr>
                <w:rFonts w:ascii="Verdana" w:hAnsi="Verdana"/>
                <w:sz w:val="22"/>
                <w:szCs w:val="22"/>
              </w:rPr>
            </w:pPr>
            <w:r w:rsidRPr="00560961">
              <w:rPr>
                <w:rFonts w:ascii="Verdana" w:hAnsi="Verdana"/>
                <w:sz w:val="22"/>
                <w:szCs w:val="22"/>
              </w:rPr>
              <w:t>National Context</w:t>
            </w:r>
          </w:p>
          <w:p w14:paraId="033D9E24" w14:textId="7AF0F53B" w:rsidR="00874388" w:rsidRPr="00A70DF3" w:rsidRDefault="00874388" w:rsidP="00A70DF3">
            <w:pPr>
              <w:autoSpaceDE w:val="0"/>
              <w:autoSpaceDN w:val="0"/>
              <w:adjustRightInd w:val="0"/>
              <w:jc w:val="both"/>
              <w:rPr>
                <w:rFonts w:ascii="Verdana" w:hAnsi="Verdana"/>
                <w:szCs w:val="24"/>
              </w:rPr>
            </w:pPr>
            <w:r w:rsidRPr="00A70DF3">
              <w:rPr>
                <w:rFonts w:ascii="Verdana" w:hAnsi="Verdana"/>
                <w:sz w:val="22"/>
                <w:szCs w:val="22"/>
              </w:rPr>
              <w:t xml:space="preserve">A Fracture </w:t>
            </w:r>
            <w:r w:rsidR="00A70DF3" w:rsidRPr="00A70DF3">
              <w:rPr>
                <w:rFonts w:ascii="Verdana" w:hAnsi="Verdana"/>
                <w:sz w:val="22"/>
                <w:szCs w:val="22"/>
              </w:rPr>
              <w:t>Liaison</w:t>
            </w:r>
            <w:r w:rsidRPr="00A70DF3">
              <w:rPr>
                <w:rFonts w:ascii="Verdana" w:hAnsi="Verdana"/>
                <w:sz w:val="22"/>
                <w:szCs w:val="22"/>
              </w:rPr>
              <w:t xml:space="preserve"> Service (F</w:t>
            </w:r>
            <w:r w:rsidR="00A70DF3" w:rsidRPr="00A70DF3">
              <w:rPr>
                <w:rFonts w:ascii="Verdana" w:hAnsi="Verdana"/>
                <w:sz w:val="22"/>
                <w:szCs w:val="22"/>
              </w:rPr>
              <w:t>L</w:t>
            </w:r>
            <w:r w:rsidRPr="00A70DF3">
              <w:rPr>
                <w:rFonts w:ascii="Verdana" w:hAnsi="Verdana"/>
                <w:sz w:val="22"/>
                <w:szCs w:val="22"/>
              </w:rPr>
              <w:t xml:space="preserve">S) systematically identifies, investigates, initiates </w:t>
            </w:r>
            <w:proofErr w:type="gramStart"/>
            <w:r w:rsidRPr="00A70DF3">
              <w:rPr>
                <w:rFonts w:ascii="Verdana" w:hAnsi="Verdana"/>
                <w:sz w:val="22"/>
                <w:szCs w:val="22"/>
              </w:rPr>
              <w:t>treatment</w:t>
            </w:r>
            <w:proofErr w:type="gramEnd"/>
            <w:r w:rsidRPr="00A70DF3">
              <w:rPr>
                <w:rFonts w:ascii="Verdana" w:hAnsi="Verdana"/>
                <w:sz w:val="22"/>
                <w:szCs w:val="22"/>
              </w:rPr>
              <w:t xml:space="preserve"> and integrates care for patients over the age 50 who have suffered a fragility fracture with the aim of reducing their risk of subsequent</w:t>
            </w:r>
            <w:r w:rsidR="006C0AFA">
              <w:rPr>
                <w:rFonts w:ascii="Verdana" w:hAnsi="Verdana"/>
                <w:sz w:val="22"/>
                <w:szCs w:val="22"/>
              </w:rPr>
              <w:t xml:space="preserve"> fractures</w:t>
            </w:r>
            <w:r w:rsidRPr="00A70DF3">
              <w:rPr>
                <w:rFonts w:ascii="Verdana" w:hAnsi="Verdana"/>
                <w:sz w:val="22"/>
                <w:szCs w:val="22"/>
              </w:rPr>
              <w:t xml:space="preserve">. </w:t>
            </w:r>
          </w:p>
          <w:p w14:paraId="270F008C" w14:textId="27DA7816" w:rsidR="00076814" w:rsidRPr="00560961" w:rsidRDefault="00076814" w:rsidP="00076814">
            <w:pPr>
              <w:spacing w:after="120"/>
              <w:jc w:val="both"/>
              <w:rPr>
                <w:rFonts w:ascii="Verdana" w:hAnsi="Verdana"/>
                <w:sz w:val="22"/>
                <w:szCs w:val="22"/>
              </w:rPr>
            </w:pPr>
            <w:r w:rsidRPr="00560961">
              <w:rPr>
                <w:rFonts w:ascii="Verdana" w:hAnsi="Verdana"/>
                <w:sz w:val="22"/>
                <w:szCs w:val="22"/>
              </w:rPr>
              <w:t>Fragility fractures are broken bones that result from mechanical forces that would not ordinarily cause a fracture, known as low-level (or 'low energy') trauma</w:t>
            </w:r>
            <w:r w:rsidRPr="00560961">
              <w:rPr>
                <w:rStyle w:val="EndnoteReference"/>
                <w:rFonts w:ascii="Verdana" w:hAnsi="Verdana"/>
                <w:sz w:val="22"/>
                <w:szCs w:val="22"/>
              </w:rPr>
              <w:endnoteReference w:id="2"/>
            </w:r>
            <w:r w:rsidRPr="00560961">
              <w:rPr>
                <w:rFonts w:ascii="Verdana" w:hAnsi="Verdana"/>
                <w:sz w:val="22"/>
                <w:szCs w:val="22"/>
              </w:rPr>
              <w:t>.</w:t>
            </w:r>
            <w:r w:rsidR="0023150C" w:rsidRPr="00560961">
              <w:rPr>
                <w:rFonts w:ascii="Verdana" w:hAnsi="Verdana"/>
                <w:sz w:val="22"/>
                <w:szCs w:val="22"/>
              </w:rPr>
              <w:t xml:space="preserve"> </w:t>
            </w:r>
            <w:r w:rsidRPr="00560961">
              <w:rPr>
                <w:rFonts w:ascii="Verdana" w:hAnsi="Verdana"/>
                <w:sz w:val="22"/>
                <w:szCs w:val="22"/>
              </w:rPr>
              <w:t>The World Health Organisation has quantified this as a force equivalent to a fall from a standing height or less</w:t>
            </w:r>
            <w:r w:rsidRPr="00560961">
              <w:rPr>
                <w:rStyle w:val="EndnoteReference"/>
                <w:rFonts w:ascii="Verdana" w:hAnsi="Verdana" w:cs="Arial"/>
                <w:sz w:val="22"/>
                <w:szCs w:val="22"/>
              </w:rPr>
              <w:endnoteReference w:id="3"/>
            </w:r>
            <w:r w:rsidRPr="00560961">
              <w:rPr>
                <w:rFonts w:ascii="Verdana" w:hAnsi="Verdana"/>
                <w:sz w:val="22"/>
                <w:szCs w:val="22"/>
              </w:rPr>
              <w:t xml:space="preserve">.  Reduced bone density is a major risk factor for fragility fracture.  Other factors that may affect the risk of fragility fracture include the use of oral or systemic glucocorticoids, age, sex, previous </w:t>
            </w:r>
            <w:proofErr w:type="gramStart"/>
            <w:r w:rsidRPr="00560961">
              <w:rPr>
                <w:rFonts w:ascii="Verdana" w:hAnsi="Verdana"/>
                <w:sz w:val="22"/>
                <w:szCs w:val="22"/>
              </w:rPr>
              <w:t>fractures</w:t>
            </w:r>
            <w:proofErr w:type="gramEnd"/>
            <w:r w:rsidRPr="00560961">
              <w:rPr>
                <w:rFonts w:ascii="Verdana" w:hAnsi="Verdana"/>
                <w:sz w:val="22"/>
                <w:szCs w:val="22"/>
              </w:rPr>
              <w:t xml:space="preserve"> and family history of osteoporosis</w:t>
            </w:r>
            <w:r w:rsidRPr="00560961">
              <w:rPr>
                <w:rStyle w:val="EndnoteReference"/>
                <w:rFonts w:ascii="Verdana" w:hAnsi="Verdana" w:cs="Arial"/>
                <w:sz w:val="22"/>
                <w:szCs w:val="22"/>
              </w:rPr>
              <w:endnoteReference w:id="4"/>
            </w:r>
            <w:r w:rsidRPr="00560961">
              <w:rPr>
                <w:rFonts w:ascii="Verdana" w:hAnsi="Verdana"/>
                <w:sz w:val="22"/>
                <w:szCs w:val="22"/>
              </w:rPr>
              <w:t xml:space="preserve">. </w:t>
            </w:r>
          </w:p>
          <w:p w14:paraId="4B7F8CFD" w14:textId="44149DB8" w:rsidR="004E45EC" w:rsidRDefault="00387ABB" w:rsidP="00572D4C">
            <w:pPr>
              <w:spacing w:after="120"/>
              <w:jc w:val="both"/>
              <w:rPr>
                <w:rFonts w:ascii="Verdana" w:hAnsi="Verdana"/>
                <w:sz w:val="22"/>
                <w:szCs w:val="22"/>
              </w:rPr>
            </w:pPr>
            <w:r w:rsidRPr="00387ABB">
              <w:rPr>
                <w:rFonts w:ascii="Verdana" w:hAnsi="Verdana"/>
                <w:sz w:val="22"/>
                <w:szCs w:val="22"/>
              </w:rPr>
              <w:t xml:space="preserve">At age 50, the lifetime risk of </w:t>
            </w:r>
            <w:r w:rsidRPr="00387ABB">
              <w:rPr>
                <w:rFonts w:ascii="Verdana" w:hAnsi="Verdana" w:cs="Helvetica"/>
                <w:sz w:val="22"/>
                <w:szCs w:val="22"/>
                <w:shd w:val="clear" w:color="auto" w:fill="FFFFFF"/>
              </w:rPr>
              <w:t xml:space="preserve">fracture is </w:t>
            </w:r>
            <w:r w:rsidR="007C7F9B">
              <w:rPr>
                <w:rFonts w:ascii="Verdana" w:hAnsi="Verdana" w:cs="Helvetica"/>
                <w:sz w:val="22"/>
                <w:szCs w:val="22"/>
                <w:shd w:val="clear" w:color="auto" w:fill="FFFFFF"/>
              </w:rPr>
              <w:t>greater than</w:t>
            </w:r>
            <w:r w:rsidRPr="00387ABB">
              <w:rPr>
                <w:rFonts w:ascii="Verdana" w:hAnsi="Verdana" w:cs="Helvetica"/>
                <w:sz w:val="22"/>
                <w:szCs w:val="22"/>
                <w:shd w:val="clear" w:color="auto" w:fill="FFFFFF"/>
              </w:rPr>
              <w:t xml:space="preserve"> 50% for women and 20% for men</w:t>
            </w:r>
            <w:r>
              <w:rPr>
                <w:rStyle w:val="EndnoteReference"/>
                <w:rFonts w:ascii="Verdana" w:hAnsi="Verdana" w:cs="Helvetica"/>
                <w:sz w:val="22"/>
                <w:szCs w:val="22"/>
                <w:shd w:val="clear" w:color="auto" w:fill="FFFFFF"/>
              </w:rPr>
              <w:endnoteReference w:id="5"/>
            </w:r>
            <w:r>
              <w:rPr>
                <w:rFonts w:ascii="Verdana" w:hAnsi="Verdana" w:cs="Helvetica"/>
                <w:sz w:val="22"/>
                <w:szCs w:val="22"/>
                <w:shd w:val="clear" w:color="auto" w:fill="FFFFFF"/>
                <w:vertAlign w:val="superscript"/>
              </w:rPr>
              <w:t xml:space="preserve"> </w:t>
            </w:r>
            <w:r w:rsidRPr="00387ABB">
              <w:rPr>
                <w:rFonts w:ascii="Verdana" w:hAnsi="Verdana" w:cs="Helvetica"/>
                <w:sz w:val="22"/>
                <w:szCs w:val="22"/>
                <w:shd w:val="clear" w:color="auto" w:fill="FFFFFF"/>
              </w:rPr>
              <w:t xml:space="preserve">and many of these will be fragility fractures.  </w:t>
            </w:r>
            <w:r w:rsidR="00572D4C" w:rsidRPr="00560961">
              <w:rPr>
                <w:rFonts w:ascii="Verdana" w:hAnsi="Verdana" w:cs="Arial"/>
                <w:sz w:val="22"/>
                <w:szCs w:val="22"/>
              </w:rPr>
              <w:t>After a fragility fracture, patients are five times more likely to experience a second fracture</w:t>
            </w:r>
            <w:r w:rsidR="006C0AFA">
              <w:rPr>
                <w:rFonts w:ascii="Verdana" w:hAnsi="Verdana" w:cs="Arial"/>
                <w:sz w:val="22"/>
                <w:szCs w:val="22"/>
              </w:rPr>
              <w:t xml:space="preserve"> </w:t>
            </w:r>
            <w:r w:rsidR="00572D4C" w:rsidRPr="00560961">
              <w:rPr>
                <w:rFonts w:ascii="Verdana" w:hAnsi="Verdana" w:cs="Arial"/>
                <w:sz w:val="22"/>
                <w:szCs w:val="22"/>
              </w:rPr>
              <w:t>within the next 2 years</w:t>
            </w:r>
            <w:r w:rsidR="00572D4C">
              <w:rPr>
                <w:rStyle w:val="EndnoteReference"/>
                <w:rFonts w:ascii="Verdana" w:hAnsi="Verdana" w:cs="Arial"/>
                <w:sz w:val="22"/>
                <w:szCs w:val="22"/>
              </w:rPr>
              <w:endnoteReference w:id="6"/>
            </w:r>
            <w:r w:rsidR="00572D4C">
              <w:rPr>
                <w:rFonts w:ascii="Verdana" w:hAnsi="Verdana" w:cs="Arial"/>
                <w:sz w:val="22"/>
                <w:szCs w:val="22"/>
              </w:rPr>
              <w:t xml:space="preserve">. </w:t>
            </w:r>
            <w:r w:rsidR="00572D4C" w:rsidRPr="006C0AFA">
              <w:rPr>
                <w:rFonts w:ascii="Verdana" w:hAnsi="Verdana"/>
                <w:sz w:val="22"/>
                <w:szCs w:val="22"/>
              </w:rPr>
              <w:t>Half of all hip fractures are secondary fractures i.e. a fracture following a previous fracture</w:t>
            </w:r>
            <w:r w:rsidR="00572D4C" w:rsidRPr="00AF611B">
              <w:rPr>
                <w:rStyle w:val="EndnoteReference"/>
                <w:rFonts w:ascii="Verdana" w:hAnsi="Verdana"/>
                <w:sz w:val="22"/>
                <w:szCs w:val="22"/>
              </w:rPr>
              <w:endnoteReference w:id="7"/>
            </w:r>
            <w:r w:rsidR="00572D4C" w:rsidRPr="00AF611B">
              <w:rPr>
                <w:rFonts w:ascii="Verdana" w:hAnsi="Verdana"/>
                <w:sz w:val="22"/>
                <w:szCs w:val="22"/>
                <w:vertAlign w:val="superscript"/>
              </w:rPr>
              <w:t>,</w:t>
            </w:r>
            <w:r w:rsidR="00572D4C" w:rsidRPr="00AF611B">
              <w:rPr>
                <w:rStyle w:val="EndnoteReference"/>
                <w:rFonts w:ascii="Verdana" w:hAnsi="Verdana"/>
                <w:sz w:val="22"/>
                <w:szCs w:val="22"/>
              </w:rPr>
              <w:endnoteReference w:id="8"/>
            </w:r>
            <w:r w:rsidR="00572D4C" w:rsidRPr="00AF611B">
              <w:rPr>
                <w:rFonts w:ascii="Verdana" w:hAnsi="Verdana"/>
                <w:sz w:val="22"/>
                <w:szCs w:val="22"/>
                <w:vertAlign w:val="superscript"/>
              </w:rPr>
              <w:t>,</w:t>
            </w:r>
            <w:r w:rsidR="00572D4C" w:rsidRPr="00AF611B">
              <w:rPr>
                <w:rStyle w:val="EndnoteReference"/>
                <w:rFonts w:ascii="Verdana" w:hAnsi="Verdana"/>
                <w:sz w:val="22"/>
                <w:szCs w:val="22"/>
              </w:rPr>
              <w:endnoteReference w:id="9"/>
            </w:r>
            <w:r w:rsidR="006C0AFA">
              <w:rPr>
                <w:rFonts w:ascii="Verdana" w:hAnsi="Verdana"/>
                <w:sz w:val="22"/>
                <w:szCs w:val="22"/>
              </w:rPr>
              <w:t>. A</w:t>
            </w:r>
            <w:r w:rsidR="00572D4C" w:rsidRPr="00560961">
              <w:rPr>
                <w:rFonts w:ascii="Verdana" w:hAnsi="Verdana"/>
                <w:sz w:val="22"/>
                <w:szCs w:val="22"/>
              </w:rPr>
              <w:t xml:space="preserve">pproximately half </w:t>
            </w:r>
            <w:r w:rsidR="006C0AFA">
              <w:rPr>
                <w:rFonts w:ascii="Verdana" w:hAnsi="Verdana"/>
                <w:sz w:val="22"/>
                <w:szCs w:val="22"/>
              </w:rPr>
              <w:t xml:space="preserve">the number </w:t>
            </w:r>
            <w:r w:rsidR="00572D4C" w:rsidRPr="00560961">
              <w:rPr>
                <w:rFonts w:ascii="Verdana" w:hAnsi="Verdana"/>
                <w:sz w:val="22"/>
                <w:szCs w:val="22"/>
              </w:rPr>
              <w:t xml:space="preserve">of </w:t>
            </w:r>
            <w:r w:rsidR="006C0AFA">
              <w:rPr>
                <w:rFonts w:ascii="Verdana" w:hAnsi="Verdana"/>
                <w:sz w:val="22"/>
                <w:szCs w:val="22"/>
              </w:rPr>
              <w:t>hip fractures</w:t>
            </w:r>
            <w:r w:rsidR="00572D4C" w:rsidRPr="00560961">
              <w:rPr>
                <w:rFonts w:ascii="Verdana" w:hAnsi="Verdana"/>
                <w:sz w:val="22"/>
                <w:szCs w:val="22"/>
              </w:rPr>
              <w:t xml:space="preserve"> can be prevented if the patient is identified and treated following an initial non-hip fracture</w:t>
            </w:r>
            <w:r w:rsidR="00572D4C" w:rsidRPr="00560961">
              <w:rPr>
                <w:rFonts w:ascii="Verdana" w:hAnsi="Verdana"/>
                <w:sz w:val="22"/>
                <w:szCs w:val="22"/>
                <w:vertAlign w:val="superscript"/>
              </w:rPr>
              <w:endnoteReference w:id="10"/>
            </w:r>
            <w:r w:rsidR="00572D4C" w:rsidRPr="00560961">
              <w:rPr>
                <w:rFonts w:ascii="Verdana" w:hAnsi="Verdana"/>
                <w:sz w:val="22"/>
                <w:szCs w:val="22"/>
              </w:rPr>
              <w:t>.</w:t>
            </w:r>
            <w:r w:rsidR="009728B3">
              <w:rPr>
                <w:rFonts w:ascii="Verdana" w:hAnsi="Verdana"/>
                <w:sz w:val="22"/>
                <w:szCs w:val="22"/>
              </w:rPr>
              <w:t xml:space="preserve"> </w:t>
            </w:r>
          </w:p>
          <w:p w14:paraId="357B5BDA" w14:textId="28545104" w:rsidR="001306DD" w:rsidRPr="00031695" w:rsidRDefault="009728B3" w:rsidP="344A66DE">
            <w:pPr>
              <w:spacing w:after="120"/>
              <w:jc w:val="both"/>
              <w:rPr>
                <w:rFonts w:ascii="Verdana" w:hAnsi="Verdana" w:cs="Arial"/>
                <w:sz w:val="22"/>
                <w:szCs w:val="22"/>
              </w:rPr>
            </w:pPr>
            <w:r w:rsidRPr="00DF3FF4">
              <w:rPr>
                <w:rFonts w:ascii="Verdana" w:hAnsi="Verdana"/>
                <w:sz w:val="22"/>
                <w:szCs w:val="22"/>
              </w:rPr>
              <w:t>Fragility fractures are the clinical manifestation of osteoporosis</w:t>
            </w:r>
            <w:r>
              <w:rPr>
                <w:rStyle w:val="EndnoteReference"/>
                <w:rFonts w:ascii="Verdana" w:hAnsi="Verdana"/>
                <w:sz w:val="20"/>
              </w:rPr>
              <w:endnoteReference w:id="11"/>
            </w:r>
            <w:r w:rsidRPr="0066412A">
              <w:rPr>
                <w:rFonts w:ascii="Verdana" w:hAnsi="Verdana"/>
                <w:sz w:val="20"/>
              </w:rPr>
              <w:t xml:space="preserve">.  </w:t>
            </w:r>
            <w:r w:rsidRPr="008A2E55">
              <w:rPr>
                <w:rFonts w:ascii="Verdana" w:hAnsi="Verdana"/>
                <w:sz w:val="22"/>
                <w:szCs w:val="22"/>
              </w:rPr>
              <w:t>Osteoporosis is a condition characterised by low bone mass and micro-architectural deterioration of bone tissue with a consequent increase in bone fragility and susceptibility to fracture</w:t>
            </w:r>
            <w:r w:rsidR="0086704A">
              <w:rPr>
                <w:rStyle w:val="EndnoteReference"/>
                <w:rFonts w:ascii="Verdana" w:eastAsia="Verdana" w:hAnsi="Verdana" w:cs="Verdana"/>
                <w:kern w:val="24"/>
                <w:sz w:val="20"/>
              </w:rPr>
              <w:endnoteReference w:id="12"/>
            </w:r>
            <w:r w:rsidRPr="0066412A">
              <w:rPr>
                <w:rFonts w:ascii="Verdana" w:hAnsi="Verdana"/>
                <w:sz w:val="20"/>
              </w:rPr>
              <w:t xml:space="preserve">.  </w:t>
            </w:r>
            <w:r w:rsidRPr="00D439D4">
              <w:rPr>
                <w:rFonts w:ascii="Verdana" w:hAnsi="Verdana"/>
                <w:sz w:val="22"/>
                <w:szCs w:val="22"/>
              </w:rPr>
              <w:t>In 2015, 3.5million people in the UK were estimated to have osteoporosis</w:t>
            </w:r>
            <w:r w:rsidR="008A2E55">
              <w:rPr>
                <w:rStyle w:val="EndnoteReference"/>
                <w:rFonts w:ascii="Verdana" w:hAnsi="Verdana"/>
                <w:sz w:val="20"/>
              </w:rPr>
              <w:endnoteReference w:id="13"/>
            </w:r>
            <w:r w:rsidRPr="0066412A">
              <w:rPr>
                <w:rFonts w:ascii="Verdana" w:hAnsi="Verdana"/>
                <w:sz w:val="20"/>
              </w:rPr>
              <w:t xml:space="preserve">. </w:t>
            </w:r>
            <w:r w:rsidR="006C0AFA" w:rsidRPr="00A65220">
              <w:rPr>
                <w:rFonts w:ascii="Verdana" w:hAnsi="Verdana"/>
                <w:sz w:val="22"/>
                <w:szCs w:val="22"/>
              </w:rPr>
              <w:t xml:space="preserve">Osteoporosis is a multifactorial </w:t>
            </w:r>
            <w:r w:rsidR="00022428" w:rsidRPr="00A65220">
              <w:rPr>
                <w:rFonts w:ascii="Verdana" w:hAnsi="Verdana"/>
                <w:sz w:val="22"/>
                <w:szCs w:val="22"/>
              </w:rPr>
              <w:t>condition,</w:t>
            </w:r>
            <w:r w:rsidR="009B65BE" w:rsidRPr="00A65220">
              <w:rPr>
                <w:rFonts w:ascii="Verdana" w:hAnsi="Verdana"/>
                <w:sz w:val="22"/>
                <w:szCs w:val="22"/>
              </w:rPr>
              <w:t xml:space="preserve"> but</w:t>
            </w:r>
            <w:r w:rsidR="006C0AFA" w:rsidRPr="00A65220">
              <w:rPr>
                <w:rFonts w:ascii="Verdana" w:hAnsi="Verdana"/>
                <w:sz w:val="22"/>
                <w:szCs w:val="22"/>
              </w:rPr>
              <w:t xml:space="preserve"> </w:t>
            </w:r>
            <w:r w:rsidR="007D1C3D" w:rsidRPr="00A65220">
              <w:rPr>
                <w:rFonts w:ascii="Verdana" w:hAnsi="Verdana"/>
                <w:sz w:val="22"/>
                <w:szCs w:val="22"/>
              </w:rPr>
              <w:t>prevalence increases sharply with age</w:t>
            </w:r>
            <w:r w:rsidR="00F14525">
              <w:rPr>
                <w:rFonts w:ascii="Verdana" w:hAnsi="Verdana"/>
                <w:sz w:val="22"/>
                <w:szCs w:val="22"/>
              </w:rPr>
              <w:t>. I</w:t>
            </w:r>
            <w:r w:rsidR="007564E3">
              <w:rPr>
                <w:rFonts w:ascii="Verdana" w:hAnsi="Verdana"/>
                <w:sz w:val="22"/>
                <w:szCs w:val="22"/>
              </w:rPr>
              <w:t>n women</w:t>
            </w:r>
            <w:r w:rsidR="00F14525">
              <w:rPr>
                <w:rFonts w:ascii="Verdana" w:hAnsi="Verdana"/>
                <w:sz w:val="22"/>
                <w:szCs w:val="22"/>
              </w:rPr>
              <w:t xml:space="preserve"> the prevalence of osteoporosis increases from </w:t>
            </w:r>
            <w:r w:rsidR="007D1C3D" w:rsidRPr="00A65220">
              <w:rPr>
                <w:rFonts w:ascii="Verdana" w:hAnsi="Verdana"/>
                <w:sz w:val="22"/>
                <w:szCs w:val="22"/>
              </w:rPr>
              <w:t>approximately 2% at age 50 to more than 25% at age 80</w:t>
            </w:r>
            <w:r w:rsidR="00A65220">
              <w:rPr>
                <w:rStyle w:val="EndnoteReference"/>
                <w:rFonts w:ascii="Verdana" w:hAnsi="Verdana"/>
                <w:sz w:val="22"/>
                <w:szCs w:val="22"/>
              </w:rPr>
              <w:endnoteReference w:id="14"/>
            </w:r>
            <w:r w:rsidR="007D1C3D" w:rsidRPr="00A65220">
              <w:rPr>
                <w:rFonts w:ascii="Verdana" w:hAnsi="Verdana"/>
                <w:sz w:val="20"/>
              </w:rPr>
              <w:t>.</w:t>
            </w:r>
            <w:r w:rsidR="007D1C3D" w:rsidRPr="0066412A">
              <w:rPr>
                <w:rFonts w:ascii="Verdana" w:hAnsi="Verdana"/>
                <w:sz w:val="20"/>
              </w:rPr>
              <w:t xml:space="preserve"> </w:t>
            </w:r>
            <w:r w:rsidR="001F0EA4" w:rsidRPr="000B3C76">
              <w:rPr>
                <w:rFonts w:ascii="Verdana" w:hAnsi="Verdana"/>
                <w:sz w:val="22"/>
                <w:szCs w:val="22"/>
                <w:lang w:val="en-GB"/>
              </w:rPr>
              <w:t>Over 70% of UK population growth between 2014 and 2039 will be in the over 60 age group, an increase from 14.9 to 21.9 million people</w:t>
            </w:r>
            <w:r w:rsidR="00E5144C" w:rsidRPr="000B3C76">
              <w:rPr>
                <w:rStyle w:val="EndnoteReference"/>
                <w:rFonts w:ascii="Verdana" w:hAnsi="Verdana"/>
                <w:sz w:val="22"/>
                <w:szCs w:val="22"/>
                <w:lang w:val="en-GB"/>
              </w:rPr>
              <w:endnoteReference w:id="15"/>
            </w:r>
            <w:r w:rsidR="001F0EA4" w:rsidRPr="000B3C76">
              <w:rPr>
                <w:rFonts w:ascii="Verdana" w:hAnsi="Verdana"/>
                <w:sz w:val="22"/>
                <w:szCs w:val="22"/>
                <w:lang w:val="en-GB"/>
              </w:rPr>
              <w:t>.</w:t>
            </w:r>
            <w:r w:rsidR="00335C50" w:rsidRPr="000B3C76">
              <w:rPr>
                <w:rFonts w:ascii="Verdana" w:hAnsi="Verdana"/>
                <w:sz w:val="22"/>
                <w:szCs w:val="22"/>
                <w:lang w:val="en-GB"/>
              </w:rPr>
              <w:t xml:space="preserve"> </w:t>
            </w:r>
            <w:r w:rsidR="00664DCE" w:rsidRPr="001010A8">
              <w:rPr>
                <w:rFonts w:ascii="Verdana" w:hAnsi="Verdana"/>
                <w:sz w:val="22"/>
                <w:szCs w:val="22"/>
              </w:rPr>
              <w:t xml:space="preserve">In 2017, over half a million fragility fractures occurred in the UK with an </w:t>
            </w:r>
            <w:r w:rsidR="00664DCE" w:rsidRPr="001010A8">
              <w:rPr>
                <w:rFonts w:ascii="Verdana" w:hAnsi="Verdana"/>
                <w:sz w:val="22"/>
                <w:szCs w:val="22"/>
              </w:rPr>
              <w:lastRenderedPageBreak/>
              <w:t>associated healthcare cost of £4.5billion. This annual expenditure is predicted to increase by 30%, to £5.9billion, by 2030</w:t>
            </w:r>
            <w:r w:rsidR="00664DCE" w:rsidRPr="00AE6327">
              <w:rPr>
                <w:rStyle w:val="EndnoteReference"/>
                <w:rFonts w:cs="Calibri"/>
                <w:sz w:val="22"/>
                <w:szCs w:val="22"/>
              </w:rPr>
              <w:endnoteReference w:id="16"/>
            </w:r>
            <w:r w:rsidR="00664DCE" w:rsidRPr="00AE6327">
              <w:rPr>
                <w:rFonts w:cs="Calibri"/>
                <w:sz w:val="22"/>
                <w:szCs w:val="22"/>
              </w:rPr>
              <w:t>.</w:t>
            </w:r>
          </w:p>
          <w:p w14:paraId="1300AC2E" w14:textId="738E13EF" w:rsidR="00590C11" w:rsidRPr="00560961" w:rsidRDefault="008D11AA" w:rsidP="344A66DE">
            <w:pPr>
              <w:spacing w:after="120"/>
              <w:jc w:val="both"/>
              <w:rPr>
                <w:rFonts w:ascii="Verdana" w:hAnsi="Verdana" w:cs="Arial"/>
                <w:sz w:val="22"/>
                <w:szCs w:val="22"/>
              </w:rPr>
            </w:pPr>
            <w:r w:rsidRPr="00DE6A38">
              <w:rPr>
                <w:rFonts w:ascii="Verdana" w:eastAsia="OpenSans-Light" w:hAnsi="Verdana" w:cs="OpenSans-Semibold"/>
                <w:sz w:val="22"/>
                <w:szCs w:val="22"/>
              </w:rPr>
              <w:t>Unplanned admissions and length of stay are important drivers of cost,</w:t>
            </w:r>
            <w:r w:rsidRPr="00DE6A38">
              <w:rPr>
                <w:rFonts w:ascii="Verdana" w:hAnsi="Verdana"/>
                <w:sz w:val="22"/>
                <w:szCs w:val="22"/>
              </w:rPr>
              <w:t xml:space="preserve"> with emergency admissions due to fragility fractures taking up more acute bed-days than myocardial infarction, heart failure and stroke combined</w:t>
            </w:r>
            <w:r w:rsidR="00716BAD" w:rsidRPr="00DE6A38">
              <w:rPr>
                <w:rStyle w:val="EndnoteReference"/>
                <w:rFonts w:ascii="Verdana" w:hAnsi="Verdana"/>
                <w:sz w:val="22"/>
                <w:szCs w:val="22"/>
              </w:rPr>
              <w:endnoteReference w:id="17"/>
            </w:r>
            <w:r w:rsidR="00031695" w:rsidRPr="00DE6A38">
              <w:rPr>
                <w:rFonts w:ascii="Verdana" w:hAnsi="Verdana"/>
                <w:sz w:val="22"/>
                <w:szCs w:val="22"/>
              </w:rPr>
              <w:t>.</w:t>
            </w:r>
            <w:r w:rsidR="00716BAD" w:rsidRPr="00DE6A38">
              <w:rPr>
                <w:rFonts w:ascii="Verdana" w:hAnsi="Verdana"/>
                <w:sz w:val="22"/>
                <w:szCs w:val="22"/>
              </w:rPr>
              <w:t xml:space="preserve"> </w:t>
            </w:r>
            <w:r w:rsidR="001306DD">
              <w:rPr>
                <w:rFonts w:ascii="Verdana" w:eastAsia="OpenSans-Light" w:hAnsi="Verdana" w:cs="OpenSans-Semibold"/>
                <w:sz w:val="22"/>
                <w:szCs w:val="22"/>
              </w:rPr>
              <w:t>H</w:t>
            </w:r>
            <w:r w:rsidR="000A716D" w:rsidRPr="00F10B6D">
              <w:rPr>
                <w:rFonts w:ascii="Verdana" w:eastAsia="OpenSans-Light" w:hAnsi="Verdana" w:cs="OpenSans-Semibold"/>
                <w:sz w:val="22"/>
                <w:szCs w:val="22"/>
              </w:rPr>
              <w:t xml:space="preserve">ip fractures </w:t>
            </w:r>
            <w:r w:rsidR="000A716D" w:rsidRPr="00F10B6D">
              <w:rPr>
                <w:rFonts w:ascii="Verdana" w:eastAsia="OpenSans-Light" w:hAnsi="Verdana" w:cs="OpenSans-Semibold"/>
                <w:sz w:val="22"/>
                <w:szCs w:val="22"/>
                <w:lang w:val="en-GB"/>
              </w:rPr>
              <w:t>make up one fifth of all fragility fractures,</w:t>
            </w:r>
            <w:r w:rsidR="008851EF">
              <w:rPr>
                <w:rFonts w:ascii="Verdana" w:eastAsia="OpenSans-Light" w:hAnsi="Verdana" w:cs="OpenSans-Semibold"/>
                <w:sz w:val="22"/>
                <w:szCs w:val="22"/>
                <w:lang w:val="en-GB"/>
              </w:rPr>
              <w:t xml:space="preserve"> yet</w:t>
            </w:r>
            <w:r w:rsidR="000A716D" w:rsidRPr="00F10B6D">
              <w:rPr>
                <w:rFonts w:ascii="Verdana" w:eastAsia="OpenSans-Light" w:hAnsi="Verdana" w:cs="OpenSans-Semibold"/>
                <w:sz w:val="22"/>
                <w:szCs w:val="22"/>
                <w:lang w:val="en-GB"/>
              </w:rPr>
              <w:t xml:space="preserve"> they account for 58% of total fracture related costs</w:t>
            </w:r>
            <w:r w:rsidR="000A716D" w:rsidRPr="00F10B6D">
              <w:rPr>
                <w:rStyle w:val="EndnoteReference"/>
                <w:rFonts w:ascii="Verdana" w:eastAsia="OpenSans-Light" w:hAnsi="Verdana" w:cs="OpenSans-Semibold"/>
                <w:sz w:val="22"/>
                <w:szCs w:val="22"/>
                <w:lang w:val="en-GB"/>
              </w:rPr>
              <w:endnoteReference w:id="18"/>
            </w:r>
            <w:r w:rsidR="000A716D" w:rsidRPr="00F10B6D">
              <w:rPr>
                <w:rFonts w:ascii="Verdana" w:eastAsia="OpenSans-Light" w:hAnsi="Verdana" w:cs="OpenSans-Semibold"/>
                <w:sz w:val="22"/>
                <w:szCs w:val="22"/>
                <w:lang w:val="en-GB"/>
              </w:rPr>
              <w:t xml:space="preserve">. </w:t>
            </w:r>
            <w:r w:rsidR="006D5092" w:rsidRPr="00F10B6D">
              <w:rPr>
                <w:rFonts w:ascii="Verdana" w:hAnsi="Verdana" w:cs="Arial"/>
                <w:sz w:val="22"/>
                <w:szCs w:val="22"/>
              </w:rPr>
              <w:t>Each year, hip fractures cost the UK healthcare system approximately £1.1billion/year</w:t>
            </w:r>
            <w:r w:rsidR="006D5092" w:rsidRPr="00F10B6D">
              <w:rPr>
                <w:rStyle w:val="EndnoteReference"/>
                <w:rFonts w:ascii="Verdana" w:hAnsi="Verdana" w:cs="Arial"/>
                <w:sz w:val="22"/>
                <w:szCs w:val="22"/>
              </w:rPr>
              <w:endnoteReference w:id="19"/>
            </w:r>
            <w:r w:rsidR="00144EA0">
              <w:rPr>
                <w:rFonts w:ascii="Verdana" w:hAnsi="Verdana" w:cs="Arial"/>
                <w:sz w:val="22"/>
                <w:szCs w:val="22"/>
              </w:rPr>
              <w:t xml:space="preserve">. </w:t>
            </w:r>
            <w:r w:rsidR="00C1329B">
              <w:rPr>
                <w:rFonts w:ascii="Verdana" w:hAnsi="Verdana" w:cs="Arial"/>
                <w:sz w:val="22"/>
                <w:szCs w:val="22"/>
              </w:rPr>
              <w:t>A</w:t>
            </w:r>
            <w:r w:rsidR="00F86E1F" w:rsidRPr="00F10B6D">
              <w:rPr>
                <w:rFonts w:ascii="Verdana" w:hAnsi="Verdana" w:cs="Arial"/>
                <w:sz w:val="22"/>
                <w:szCs w:val="22"/>
              </w:rPr>
              <w:t>t any one time, patients recovering from hip fracture occupy 1 in 45 beds in England and Northern Ireland, and 1 in 33 beds in Wales</w:t>
            </w:r>
            <w:r w:rsidR="00F86E1F" w:rsidRPr="00F10B6D">
              <w:rPr>
                <w:rStyle w:val="EndnoteReference"/>
                <w:rFonts w:ascii="Verdana" w:hAnsi="Verdana" w:cs="Arial"/>
                <w:sz w:val="22"/>
                <w:szCs w:val="22"/>
              </w:rPr>
              <w:endnoteReference w:id="20"/>
            </w:r>
            <w:r w:rsidR="00F86E1F" w:rsidRPr="00F10B6D">
              <w:rPr>
                <w:rFonts w:ascii="Verdana" w:hAnsi="Verdana" w:cs="Arial"/>
                <w:sz w:val="22"/>
                <w:szCs w:val="22"/>
              </w:rPr>
              <w:t xml:space="preserve">. </w:t>
            </w:r>
          </w:p>
          <w:p w14:paraId="637B840E" w14:textId="0B691C4F" w:rsidR="00D862BB" w:rsidRDefault="003C762A" w:rsidP="003C04D4">
            <w:pPr>
              <w:pStyle w:val="Sub-heading"/>
              <w:numPr>
                <w:ilvl w:val="0"/>
                <w:numId w:val="0"/>
              </w:numPr>
              <w:jc w:val="both"/>
              <w:rPr>
                <w:rFonts w:ascii="Verdana" w:hAnsi="Verdana" w:cstheme="minorBidi"/>
                <w:b w:val="0"/>
                <w:color w:val="auto"/>
                <w:sz w:val="22"/>
                <w:szCs w:val="22"/>
                <w:lang w:val="en-US"/>
              </w:rPr>
            </w:pPr>
            <w:r w:rsidRPr="00595F14">
              <w:rPr>
                <w:rFonts w:ascii="Verdana" w:hAnsi="Verdana"/>
                <w:b w:val="0"/>
                <w:color w:val="auto"/>
                <w:sz w:val="22"/>
                <w:szCs w:val="22"/>
                <w:lang w:val="en-US"/>
              </w:rPr>
              <w:t xml:space="preserve">Fragility fractures are a major obstacle to healthy aging. </w:t>
            </w:r>
            <w:r w:rsidR="00364E9D" w:rsidRPr="00595F14">
              <w:rPr>
                <w:rFonts w:ascii="Verdana" w:hAnsi="Verdana"/>
                <w:b w:val="0"/>
                <w:color w:val="auto"/>
                <w:sz w:val="22"/>
                <w:szCs w:val="22"/>
                <w:lang w:val="en-US"/>
              </w:rPr>
              <w:t xml:space="preserve">As well as the significant burden on health and social care resources, the </w:t>
            </w:r>
            <w:r w:rsidR="0022404D">
              <w:rPr>
                <w:rFonts w:ascii="Verdana" w:hAnsi="Verdana"/>
                <w:b w:val="0"/>
                <w:color w:val="auto"/>
                <w:sz w:val="22"/>
                <w:szCs w:val="22"/>
                <w:lang w:val="en-US"/>
              </w:rPr>
              <w:t>consequence</w:t>
            </w:r>
            <w:r w:rsidR="00364E9D" w:rsidRPr="00595F14">
              <w:rPr>
                <w:rFonts w:ascii="Verdana" w:hAnsi="Verdana"/>
                <w:b w:val="0"/>
                <w:color w:val="auto"/>
                <w:sz w:val="22"/>
                <w:szCs w:val="22"/>
                <w:lang w:val="en-US"/>
              </w:rPr>
              <w:t xml:space="preserve"> of fractures on the individual can be devastating. </w:t>
            </w:r>
            <w:r w:rsidR="00830DFE" w:rsidRPr="00595F14">
              <w:rPr>
                <w:rFonts w:ascii="Verdana" w:hAnsi="Verdana"/>
                <w:b w:val="0"/>
                <w:color w:val="auto"/>
                <w:sz w:val="22"/>
                <w:szCs w:val="22"/>
                <w:lang w:val="en-US"/>
              </w:rPr>
              <w:t>T</w:t>
            </w:r>
            <w:r w:rsidR="004D2F8B" w:rsidRPr="00595F14">
              <w:rPr>
                <w:rFonts w:ascii="Verdana" w:hAnsi="Verdana"/>
                <w:b w:val="0"/>
                <w:color w:val="auto"/>
                <w:sz w:val="22"/>
                <w:szCs w:val="22"/>
                <w:lang w:val="en-US"/>
              </w:rPr>
              <w:t>he</w:t>
            </w:r>
            <w:r w:rsidR="004D2F8B" w:rsidRPr="003504CB">
              <w:rPr>
                <w:rFonts w:ascii="Verdana" w:hAnsi="Verdana" w:cstheme="minorBidi"/>
                <w:b w:val="0"/>
                <w:color w:val="auto"/>
                <w:sz w:val="22"/>
                <w:szCs w:val="22"/>
                <w:lang w:val="en-US"/>
              </w:rPr>
              <w:t xml:space="preserve"> impact of hip fracture is often recognised as precipitating the patient’s final illness</w:t>
            </w:r>
            <w:r w:rsidR="00F13E8A">
              <w:rPr>
                <w:rFonts w:ascii="Verdana" w:hAnsi="Verdana" w:cstheme="minorBidi"/>
                <w:b w:val="0"/>
                <w:color w:val="auto"/>
                <w:sz w:val="22"/>
                <w:szCs w:val="22"/>
                <w:lang w:val="en-US"/>
              </w:rPr>
              <w:t>.</w:t>
            </w:r>
            <w:r w:rsidR="0094209F">
              <w:rPr>
                <w:rFonts w:ascii="Verdana" w:hAnsi="Verdana" w:cstheme="minorBidi"/>
                <w:b w:val="0"/>
                <w:color w:val="auto"/>
                <w:sz w:val="22"/>
                <w:szCs w:val="22"/>
                <w:lang w:val="en-US"/>
              </w:rPr>
              <w:t xml:space="preserve"> </w:t>
            </w:r>
            <w:r w:rsidR="002039A8">
              <w:rPr>
                <w:rFonts w:ascii="Verdana" w:hAnsi="Verdana" w:cstheme="minorBidi"/>
                <w:b w:val="0"/>
                <w:color w:val="auto"/>
                <w:sz w:val="22"/>
                <w:szCs w:val="22"/>
                <w:lang w:val="en-US"/>
              </w:rPr>
              <w:t xml:space="preserve">Only a minority </w:t>
            </w:r>
            <w:r w:rsidR="0094209F">
              <w:rPr>
                <w:rFonts w:ascii="Verdana" w:hAnsi="Verdana" w:cstheme="minorBidi"/>
                <w:b w:val="0"/>
                <w:color w:val="auto"/>
                <w:sz w:val="22"/>
                <w:szCs w:val="22"/>
                <w:lang w:val="en-US"/>
              </w:rPr>
              <w:t>of people</w:t>
            </w:r>
            <w:r w:rsidR="004D2F8B" w:rsidRPr="003504CB">
              <w:rPr>
                <w:rFonts w:ascii="Verdana" w:hAnsi="Verdana" w:cstheme="minorBidi"/>
                <w:b w:val="0"/>
                <w:color w:val="auto"/>
                <w:sz w:val="22"/>
                <w:szCs w:val="22"/>
                <w:lang w:val="en-US"/>
              </w:rPr>
              <w:t xml:space="preserve"> completely rega</w:t>
            </w:r>
            <w:r w:rsidR="00912321">
              <w:rPr>
                <w:rFonts w:ascii="Verdana" w:hAnsi="Verdana" w:cstheme="minorBidi"/>
                <w:b w:val="0"/>
                <w:color w:val="auto"/>
                <w:sz w:val="22"/>
                <w:szCs w:val="22"/>
                <w:lang w:val="en-US"/>
              </w:rPr>
              <w:t>ining</w:t>
            </w:r>
            <w:r w:rsidR="004D2F8B" w:rsidRPr="003504CB">
              <w:rPr>
                <w:rFonts w:ascii="Verdana" w:hAnsi="Verdana" w:cstheme="minorBidi"/>
                <w:b w:val="0"/>
                <w:color w:val="auto"/>
                <w:sz w:val="22"/>
                <w:szCs w:val="22"/>
                <w:lang w:val="en-US"/>
              </w:rPr>
              <w:t xml:space="preserve"> their previous abilities</w:t>
            </w:r>
            <w:r w:rsidR="002039A8">
              <w:rPr>
                <w:rFonts w:ascii="Verdana" w:hAnsi="Verdana" w:cstheme="minorBidi"/>
                <w:b w:val="0"/>
                <w:color w:val="auto"/>
                <w:sz w:val="22"/>
                <w:szCs w:val="22"/>
                <w:lang w:val="en-US"/>
              </w:rPr>
              <w:t xml:space="preserve"> and </w:t>
            </w:r>
            <w:r w:rsidR="004D2F8B" w:rsidRPr="003504CB">
              <w:rPr>
                <w:rFonts w:ascii="Verdana" w:hAnsi="Verdana" w:cstheme="minorBidi"/>
                <w:b w:val="0"/>
                <w:color w:val="auto"/>
                <w:sz w:val="22"/>
                <w:szCs w:val="22"/>
                <w:lang w:val="en-US"/>
              </w:rPr>
              <w:t xml:space="preserve">a quarter </w:t>
            </w:r>
            <w:r w:rsidR="00D862BB">
              <w:rPr>
                <w:rFonts w:ascii="Verdana" w:hAnsi="Verdana" w:cstheme="minorBidi"/>
                <w:b w:val="0"/>
                <w:color w:val="auto"/>
                <w:sz w:val="22"/>
                <w:szCs w:val="22"/>
                <w:lang w:val="en-US"/>
              </w:rPr>
              <w:t>require</w:t>
            </w:r>
            <w:r w:rsidR="004D2F8B" w:rsidRPr="003504CB">
              <w:rPr>
                <w:rFonts w:ascii="Verdana" w:hAnsi="Verdana" w:cstheme="minorBidi"/>
                <w:b w:val="0"/>
                <w:color w:val="auto"/>
                <w:sz w:val="22"/>
                <w:szCs w:val="22"/>
                <w:lang w:val="en-US"/>
              </w:rPr>
              <w:t xml:space="preserve"> long-term care</w:t>
            </w:r>
            <w:r w:rsidR="003504CB" w:rsidRPr="003504CB">
              <w:rPr>
                <w:rFonts w:cstheme="minorBidi"/>
                <w:b w:val="0"/>
                <w:color w:val="auto"/>
                <w:sz w:val="22"/>
                <w:szCs w:val="22"/>
                <w:vertAlign w:val="superscript"/>
                <w:lang w:val="en-US"/>
              </w:rPr>
              <w:endnoteReference w:id="21"/>
            </w:r>
            <w:r w:rsidR="004D2F8B" w:rsidRPr="003504CB">
              <w:rPr>
                <w:rFonts w:ascii="Verdana" w:hAnsi="Verdana" w:cstheme="minorBidi"/>
                <w:b w:val="0"/>
                <w:color w:val="auto"/>
                <w:sz w:val="22"/>
                <w:szCs w:val="22"/>
                <w:lang w:val="en-US"/>
              </w:rPr>
              <w:t>.</w:t>
            </w:r>
            <w:r w:rsidR="00830DFE">
              <w:rPr>
                <w:rFonts w:ascii="Verdana" w:hAnsi="Verdana" w:cstheme="minorBidi"/>
                <w:b w:val="0"/>
                <w:color w:val="auto"/>
                <w:sz w:val="22"/>
                <w:szCs w:val="22"/>
                <w:lang w:val="en-US"/>
              </w:rPr>
              <w:t xml:space="preserve"> </w:t>
            </w:r>
          </w:p>
          <w:p w14:paraId="2209CDBA" w14:textId="4F67A1DF" w:rsidR="000E490C" w:rsidRPr="003504CB" w:rsidRDefault="00674570" w:rsidP="003C04D4">
            <w:pPr>
              <w:pStyle w:val="Sub-heading"/>
              <w:numPr>
                <w:ilvl w:val="0"/>
                <w:numId w:val="0"/>
              </w:numPr>
              <w:jc w:val="both"/>
              <w:rPr>
                <w:rFonts w:ascii="Verdana" w:hAnsi="Verdana" w:cstheme="minorBidi"/>
                <w:b w:val="0"/>
                <w:color w:val="auto"/>
                <w:sz w:val="22"/>
                <w:szCs w:val="22"/>
                <w:lang w:val="en-US"/>
              </w:rPr>
            </w:pPr>
            <w:r w:rsidRPr="00EE339E">
              <w:rPr>
                <w:rFonts w:ascii="Verdana" w:hAnsi="Verdana"/>
                <w:b w:val="0"/>
                <w:color w:val="auto"/>
                <w:sz w:val="22"/>
                <w:szCs w:val="22"/>
                <w:lang w:val="en-US"/>
              </w:rPr>
              <w:t xml:space="preserve">Frailty is common in </w:t>
            </w:r>
            <w:r w:rsidR="00B56FB6" w:rsidRPr="00EE339E">
              <w:rPr>
                <w:rFonts w:ascii="Verdana" w:hAnsi="Verdana"/>
                <w:b w:val="0"/>
                <w:color w:val="auto"/>
                <w:sz w:val="22"/>
                <w:szCs w:val="22"/>
                <w:lang w:val="en-US"/>
              </w:rPr>
              <w:t>older people experiencing hip fracture</w:t>
            </w:r>
            <w:r w:rsidR="005356E1">
              <w:rPr>
                <w:rFonts w:ascii="Verdana" w:hAnsi="Verdana"/>
                <w:b w:val="0"/>
                <w:color w:val="auto"/>
                <w:sz w:val="22"/>
                <w:szCs w:val="22"/>
                <w:lang w:val="en-US"/>
              </w:rPr>
              <w:t xml:space="preserve"> </w:t>
            </w:r>
            <w:r w:rsidR="00EE339E">
              <w:rPr>
                <w:rFonts w:ascii="Verdana" w:hAnsi="Verdana"/>
                <w:b w:val="0"/>
                <w:color w:val="auto"/>
                <w:sz w:val="22"/>
                <w:szCs w:val="22"/>
                <w:lang w:val="en-US"/>
              </w:rPr>
              <w:t xml:space="preserve">and </w:t>
            </w:r>
            <w:r w:rsidR="00FE5300">
              <w:rPr>
                <w:rFonts w:ascii="Verdana" w:hAnsi="Verdana"/>
                <w:b w:val="0"/>
                <w:color w:val="auto"/>
                <w:sz w:val="22"/>
                <w:szCs w:val="22"/>
                <w:lang w:val="en-US"/>
              </w:rPr>
              <w:t xml:space="preserve">is a powerful predictor of </w:t>
            </w:r>
            <w:r w:rsidR="0005725C">
              <w:rPr>
                <w:rFonts w:ascii="Verdana" w:hAnsi="Verdana"/>
                <w:b w:val="0"/>
                <w:color w:val="auto"/>
                <w:sz w:val="22"/>
                <w:szCs w:val="22"/>
                <w:lang w:val="en-US"/>
              </w:rPr>
              <w:t xml:space="preserve">adverse </w:t>
            </w:r>
            <w:r w:rsidR="00FE5300">
              <w:rPr>
                <w:rFonts w:ascii="Verdana" w:hAnsi="Verdana"/>
                <w:b w:val="0"/>
                <w:color w:val="auto"/>
                <w:sz w:val="22"/>
                <w:szCs w:val="22"/>
                <w:lang w:val="en-US"/>
              </w:rPr>
              <w:t>outcome</w:t>
            </w:r>
            <w:r w:rsidR="0005725C">
              <w:rPr>
                <w:rFonts w:ascii="Verdana" w:hAnsi="Verdana"/>
                <w:b w:val="0"/>
                <w:color w:val="auto"/>
                <w:sz w:val="22"/>
                <w:szCs w:val="22"/>
                <w:lang w:val="en-US"/>
              </w:rPr>
              <w:t xml:space="preserve">s, including </w:t>
            </w:r>
            <w:r w:rsidR="00FE5300">
              <w:rPr>
                <w:rFonts w:ascii="Verdana" w:hAnsi="Verdana"/>
                <w:b w:val="0"/>
                <w:color w:val="auto"/>
                <w:sz w:val="22"/>
                <w:szCs w:val="22"/>
                <w:lang w:val="en-US"/>
              </w:rPr>
              <w:t xml:space="preserve">increased </w:t>
            </w:r>
            <w:r w:rsidR="0005725C">
              <w:rPr>
                <w:rFonts w:ascii="Verdana" w:hAnsi="Verdana"/>
                <w:b w:val="0"/>
                <w:color w:val="auto"/>
                <w:sz w:val="22"/>
                <w:szCs w:val="22"/>
                <w:lang w:val="en-US"/>
              </w:rPr>
              <w:t>mortality and length of stay</w:t>
            </w:r>
            <w:r w:rsidR="00A46C96">
              <w:rPr>
                <w:rStyle w:val="EndnoteReference"/>
                <w:rFonts w:ascii="Verdana" w:hAnsi="Verdana"/>
                <w:b w:val="0"/>
                <w:color w:val="auto"/>
                <w:sz w:val="22"/>
                <w:szCs w:val="22"/>
                <w:lang w:val="en-US"/>
              </w:rPr>
              <w:endnoteReference w:id="22"/>
            </w:r>
            <w:r w:rsidR="0005725C">
              <w:rPr>
                <w:rFonts w:ascii="Verdana" w:hAnsi="Verdana"/>
                <w:b w:val="0"/>
                <w:color w:val="auto"/>
                <w:sz w:val="22"/>
                <w:szCs w:val="22"/>
                <w:lang w:val="en-US"/>
              </w:rPr>
              <w:t xml:space="preserve">. </w:t>
            </w:r>
            <w:r w:rsidR="00FE5300">
              <w:rPr>
                <w:rFonts w:ascii="Verdana" w:hAnsi="Verdana"/>
                <w:b w:val="0"/>
                <w:color w:val="auto"/>
                <w:sz w:val="22"/>
                <w:szCs w:val="22"/>
                <w:lang w:val="en-US"/>
              </w:rPr>
              <w:t xml:space="preserve"> </w:t>
            </w:r>
          </w:p>
          <w:p w14:paraId="67F858A8" w14:textId="74A0F322" w:rsidR="00F43AE8" w:rsidRPr="00560961" w:rsidRDefault="00F43AE8" w:rsidP="00F43AE8">
            <w:pPr>
              <w:pStyle w:val="Sub-heading"/>
              <w:numPr>
                <w:ilvl w:val="0"/>
                <w:numId w:val="0"/>
              </w:numPr>
              <w:rPr>
                <w:rFonts w:ascii="Verdana" w:hAnsi="Verdana"/>
                <w:sz w:val="22"/>
                <w:szCs w:val="22"/>
              </w:rPr>
            </w:pPr>
            <w:r w:rsidRPr="00560961">
              <w:rPr>
                <w:rFonts w:ascii="Verdana" w:hAnsi="Verdana"/>
                <w:sz w:val="22"/>
                <w:szCs w:val="22"/>
              </w:rPr>
              <w:t>Evidence Base</w:t>
            </w:r>
          </w:p>
          <w:p w14:paraId="62B1301A" w14:textId="7DCE78E9" w:rsidR="006A084D" w:rsidRPr="00A246C4" w:rsidRDefault="006A084D" w:rsidP="006A084D">
            <w:pPr>
              <w:autoSpaceDE w:val="0"/>
              <w:autoSpaceDN w:val="0"/>
              <w:adjustRightInd w:val="0"/>
              <w:spacing w:after="0"/>
              <w:jc w:val="both"/>
              <w:rPr>
                <w:rFonts w:ascii="Verdana" w:hAnsi="Verdana"/>
                <w:sz w:val="22"/>
                <w:szCs w:val="22"/>
              </w:rPr>
            </w:pPr>
            <w:r w:rsidRPr="00A246C4">
              <w:rPr>
                <w:rFonts w:ascii="Verdana" w:hAnsi="Verdana" w:cs="Arial"/>
                <w:color w:val="000000"/>
                <w:sz w:val="22"/>
                <w:szCs w:val="22"/>
              </w:rPr>
              <w:t>The Department of Health’s 2009 strategy paper ‘Falls and Fractures: Effective Interventions in Health and Social Care’</w:t>
            </w:r>
            <w:r w:rsidRPr="00A246C4">
              <w:rPr>
                <w:rStyle w:val="EndnoteReference"/>
                <w:rFonts w:ascii="Verdana" w:hAnsi="Verdana" w:cs="Arial"/>
                <w:color w:val="000000"/>
                <w:sz w:val="22"/>
                <w:szCs w:val="22"/>
              </w:rPr>
              <w:endnoteReference w:id="23"/>
            </w:r>
            <w:r w:rsidRPr="00A246C4">
              <w:rPr>
                <w:rFonts w:ascii="Verdana" w:hAnsi="Verdana" w:cs="Arial"/>
                <w:color w:val="000000"/>
                <w:sz w:val="22"/>
                <w:szCs w:val="22"/>
              </w:rPr>
              <w:t xml:space="preserve"> recognised that the </w:t>
            </w:r>
            <w:r w:rsidRPr="00A246C4">
              <w:rPr>
                <w:rFonts w:ascii="Verdana" w:hAnsi="Verdana"/>
                <w:sz w:val="22"/>
                <w:szCs w:val="22"/>
              </w:rPr>
              <w:t xml:space="preserve">consequences of falls and resultant fragility fractures cut across all local agencies working with older people.  Accordingly, they identified four key areas for intervention that commissioners should consider in the context of local services for falls and fracture prevention.  The document recommended developing services to achieve these four objectives, which were listed in priority order in terms of impact and evidence-base.  Objective 1 was to improve patient outcomes and improve efficiency of care after hip fractures through compliance with core standards.  Objective 2 was to respond to a first fracture and prevent the second through fracture prevention services.  Objective 3 was early intervention to restore independence, through falls care pathways, linking acute and urgent care services to secondary prevention of further falls and injuries.  Objective 4 was about preventing frailty, promoting bone </w:t>
            </w:r>
            <w:r w:rsidR="00C51053" w:rsidRPr="00A246C4">
              <w:rPr>
                <w:rFonts w:ascii="Verdana" w:hAnsi="Verdana"/>
                <w:sz w:val="22"/>
                <w:szCs w:val="22"/>
              </w:rPr>
              <w:t>health,</w:t>
            </w:r>
            <w:r w:rsidRPr="00A246C4">
              <w:rPr>
                <w:rFonts w:ascii="Verdana" w:hAnsi="Verdana"/>
                <w:sz w:val="22"/>
                <w:szCs w:val="22"/>
              </w:rPr>
              <w:t xml:space="preserve"> and reducing accidents, through encouraging physical activity and healthy lifestyles, and reducing unnecessary environmental hazards.</w:t>
            </w:r>
          </w:p>
          <w:p w14:paraId="428F507A" w14:textId="77777777" w:rsidR="006A084D" w:rsidRDefault="006A084D" w:rsidP="006A084D">
            <w:pPr>
              <w:autoSpaceDE w:val="0"/>
              <w:autoSpaceDN w:val="0"/>
              <w:adjustRightInd w:val="0"/>
              <w:spacing w:after="0"/>
              <w:jc w:val="both"/>
              <w:rPr>
                <w:rFonts w:ascii="Verdana" w:hAnsi="Verdana"/>
                <w:sz w:val="22"/>
                <w:szCs w:val="22"/>
              </w:rPr>
            </w:pPr>
          </w:p>
          <w:p w14:paraId="3C0F7AE0" w14:textId="4061F242" w:rsidR="006A084D" w:rsidRDefault="006A084D" w:rsidP="006A084D">
            <w:pPr>
              <w:autoSpaceDE w:val="0"/>
              <w:autoSpaceDN w:val="0"/>
              <w:adjustRightInd w:val="0"/>
              <w:spacing w:after="120"/>
              <w:jc w:val="both"/>
              <w:rPr>
                <w:rFonts w:ascii="Verdana" w:hAnsi="Verdana" w:cs="Arial"/>
                <w:sz w:val="22"/>
                <w:szCs w:val="22"/>
              </w:rPr>
            </w:pPr>
            <w:r w:rsidRPr="00A246C4">
              <w:rPr>
                <w:rFonts w:ascii="Verdana" w:hAnsi="Verdana"/>
                <w:sz w:val="22"/>
                <w:szCs w:val="22"/>
              </w:rPr>
              <w:t>Objective 1 has largely been achieved following introduction of orthogeriatrican roles to improve the management of hip fracture patients on the ward, the Best Practice Tariff for hip fracture and the National Hip Fracture Database.  However, there is still some way to go in terms of objective 2 as one in five women who have</w:t>
            </w:r>
            <w:r w:rsidR="008B11E8">
              <w:rPr>
                <w:rFonts w:ascii="Verdana" w:hAnsi="Verdana"/>
                <w:sz w:val="22"/>
                <w:szCs w:val="22"/>
              </w:rPr>
              <w:t xml:space="preserve"> had a </w:t>
            </w:r>
            <w:r w:rsidR="00AF31E9">
              <w:rPr>
                <w:rFonts w:ascii="Verdana" w:hAnsi="Verdana"/>
                <w:sz w:val="22"/>
                <w:szCs w:val="22"/>
              </w:rPr>
              <w:t xml:space="preserve">fragility </w:t>
            </w:r>
            <w:r w:rsidR="008B11E8">
              <w:rPr>
                <w:rFonts w:ascii="Verdana" w:hAnsi="Verdana"/>
                <w:sz w:val="22"/>
                <w:szCs w:val="22"/>
              </w:rPr>
              <w:t>fracture</w:t>
            </w:r>
            <w:r w:rsidRPr="00A246C4">
              <w:rPr>
                <w:rFonts w:ascii="Verdana" w:hAnsi="Verdana"/>
                <w:sz w:val="22"/>
                <w:szCs w:val="22"/>
              </w:rPr>
              <w:t xml:space="preserve">, </w:t>
            </w:r>
            <w:r w:rsidR="00AF31E9">
              <w:rPr>
                <w:rFonts w:ascii="Verdana" w:hAnsi="Verdana"/>
                <w:sz w:val="22"/>
                <w:szCs w:val="22"/>
              </w:rPr>
              <w:t xml:space="preserve">will </w:t>
            </w:r>
            <w:r w:rsidRPr="00A246C4">
              <w:rPr>
                <w:rFonts w:ascii="Verdana" w:hAnsi="Verdana"/>
                <w:sz w:val="22"/>
                <w:szCs w:val="22"/>
              </w:rPr>
              <w:t>break</w:t>
            </w:r>
            <w:r w:rsidR="006C0AFA">
              <w:rPr>
                <w:rFonts w:ascii="Verdana" w:hAnsi="Verdana"/>
                <w:sz w:val="22"/>
                <w:szCs w:val="22"/>
              </w:rPr>
              <w:t xml:space="preserve"> </w:t>
            </w:r>
            <w:r w:rsidRPr="00A246C4">
              <w:rPr>
                <w:rFonts w:ascii="Verdana" w:hAnsi="Verdana"/>
                <w:sz w:val="22"/>
                <w:szCs w:val="22"/>
              </w:rPr>
              <w:t xml:space="preserve">three </w:t>
            </w:r>
            <w:r w:rsidR="008B11E8">
              <w:rPr>
                <w:rFonts w:ascii="Verdana" w:hAnsi="Verdana"/>
                <w:sz w:val="22"/>
                <w:szCs w:val="22"/>
              </w:rPr>
              <w:t xml:space="preserve">or more </w:t>
            </w:r>
            <w:r w:rsidRPr="00A246C4">
              <w:rPr>
                <w:rFonts w:ascii="Verdana" w:hAnsi="Verdana"/>
                <w:sz w:val="22"/>
                <w:szCs w:val="22"/>
              </w:rPr>
              <w:t>bones before they are diagnosed with osteoporosis</w:t>
            </w:r>
            <w:r w:rsidRPr="00A246C4">
              <w:rPr>
                <w:rFonts w:ascii="Verdana" w:hAnsi="Verdana"/>
                <w:sz w:val="22"/>
                <w:szCs w:val="22"/>
                <w:vertAlign w:val="superscript"/>
              </w:rPr>
              <w:endnoteReference w:id="24"/>
            </w:r>
            <w:r w:rsidRPr="00A246C4">
              <w:rPr>
                <w:rFonts w:ascii="Verdana" w:hAnsi="Verdana" w:cs="Arial"/>
                <w:sz w:val="22"/>
                <w:szCs w:val="22"/>
              </w:rPr>
              <w:t xml:space="preserve">. </w:t>
            </w:r>
          </w:p>
          <w:p w14:paraId="4922C643" w14:textId="5B26A45E" w:rsidR="004678F8" w:rsidRPr="00573AB7" w:rsidRDefault="004678F8" w:rsidP="004678F8">
            <w:pPr>
              <w:autoSpaceDE w:val="0"/>
              <w:autoSpaceDN w:val="0"/>
              <w:adjustRightInd w:val="0"/>
              <w:spacing w:after="120"/>
              <w:jc w:val="both"/>
              <w:rPr>
                <w:rFonts w:ascii="Verdana" w:hAnsi="Verdana" w:cs="Arial"/>
                <w:sz w:val="22"/>
                <w:szCs w:val="22"/>
              </w:rPr>
            </w:pPr>
            <w:r w:rsidRPr="00B40477">
              <w:rPr>
                <w:rFonts w:ascii="Verdana" w:hAnsi="Verdana"/>
                <w:sz w:val="22"/>
                <w:szCs w:val="22"/>
              </w:rPr>
              <w:t xml:space="preserve">The FLS model has demonstrated that it is uniquely effective in preventing secondary fractures by delivering assessments to 95-97% of </w:t>
            </w:r>
            <w:r w:rsidR="00D3741D" w:rsidRPr="00B40477">
              <w:rPr>
                <w:rFonts w:ascii="Verdana" w:hAnsi="Verdana"/>
                <w:sz w:val="22"/>
                <w:szCs w:val="22"/>
              </w:rPr>
              <w:t>at-risk</w:t>
            </w:r>
            <w:r w:rsidRPr="00B40477">
              <w:rPr>
                <w:rFonts w:ascii="Verdana" w:hAnsi="Verdana"/>
                <w:sz w:val="22"/>
                <w:szCs w:val="22"/>
              </w:rPr>
              <w:t xml:space="preserve"> patients within the local population as opposed to </w:t>
            </w:r>
            <w:r>
              <w:rPr>
                <w:rFonts w:ascii="Verdana" w:hAnsi="Verdana"/>
                <w:sz w:val="22"/>
                <w:szCs w:val="22"/>
              </w:rPr>
              <w:t xml:space="preserve">only </w:t>
            </w:r>
            <w:r w:rsidRPr="00B40477">
              <w:rPr>
                <w:rFonts w:ascii="Verdana" w:hAnsi="Verdana"/>
                <w:sz w:val="22"/>
                <w:szCs w:val="22"/>
              </w:rPr>
              <w:t xml:space="preserve">25% of patients </w:t>
            </w:r>
            <w:r>
              <w:rPr>
                <w:rFonts w:ascii="Verdana" w:hAnsi="Verdana"/>
                <w:sz w:val="22"/>
                <w:szCs w:val="22"/>
              </w:rPr>
              <w:t>being assessed with other service models</w:t>
            </w:r>
            <w:r w:rsidRPr="00B40477">
              <w:rPr>
                <w:rStyle w:val="EndnoteReference"/>
                <w:rFonts w:ascii="Verdana" w:hAnsi="Verdana"/>
                <w:sz w:val="22"/>
                <w:szCs w:val="22"/>
              </w:rPr>
              <w:endnoteReference w:id="25"/>
            </w:r>
            <w:r w:rsidRPr="00B40477">
              <w:rPr>
                <w:rFonts w:ascii="Verdana" w:hAnsi="Verdana"/>
                <w:sz w:val="22"/>
                <w:szCs w:val="22"/>
              </w:rPr>
              <w:t xml:space="preserve">. The FLS model is associated with </w:t>
            </w:r>
            <w:r>
              <w:rPr>
                <w:rFonts w:ascii="Verdana" w:hAnsi="Verdana"/>
                <w:sz w:val="22"/>
                <w:szCs w:val="22"/>
              </w:rPr>
              <w:t xml:space="preserve">increased </w:t>
            </w:r>
            <w:r w:rsidRPr="00B40477">
              <w:rPr>
                <w:rFonts w:ascii="Verdana" w:hAnsi="Verdana"/>
                <w:sz w:val="22"/>
                <w:szCs w:val="22"/>
              </w:rPr>
              <w:t>treatment initiation and adherence to treatment (65%–88% at 1 year)</w:t>
            </w:r>
            <w:r>
              <w:rPr>
                <w:rStyle w:val="EndnoteReference"/>
                <w:rFonts w:ascii="Verdana" w:hAnsi="Verdana"/>
                <w:sz w:val="22"/>
                <w:szCs w:val="22"/>
              </w:rPr>
              <w:endnoteReference w:id="26"/>
            </w:r>
            <w:r>
              <w:rPr>
                <w:rFonts w:ascii="Verdana" w:hAnsi="Verdana"/>
                <w:sz w:val="22"/>
                <w:szCs w:val="22"/>
              </w:rPr>
              <w:t xml:space="preserve">. </w:t>
            </w:r>
            <w:r w:rsidRPr="00B40477">
              <w:rPr>
                <w:rFonts w:ascii="Verdana" w:hAnsi="Verdana"/>
                <w:sz w:val="22"/>
                <w:szCs w:val="22"/>
              </w:rPr>
              <w:t xml:space="preserve"> Organisations with an FLS were found to have a 40% reduction in the 3-year </w:t>
            </w:r>
            <w:r w:rsidRPr="00B40477">
              <w:rPr>
                <w:rFonts w:ascii="Verdana" w:hAnsi="Verdana"/>
                <w:sz w:val="22"/>
                <w:szCs w:val="22"/>
              </w:rPr>
              <w:lastRenderedPageBreak/>
              <w:t>risk of secondary fragility fractures to major bones and a 30% reduction of re-fracture to any bone</w:t>
            </w:r>
            <w:r w:rsidRPr="00B40477">
              <w:rPr>
                <w:rFonts w:ascii="Verdana" w:hAnsi="Verdana"/>
                <w:sz w:val="22"/>
                <w:szCs w:val="22"/>
                <w:vertAlign w:val="superscript"/>
              </w:rPr>
              <w:t xml:space="preserve"> </w:t>
            </w:r>
            <w:r w:rsidRPr="00B40477">
              <w:rPr>
                <w:rFonts w:ascii="Verdana" w:hAnsi="Verdana"/>
                <w:sz w:val="22"/>
                <w:szCs w:val="22"/>
              </w:rPr>
              <w:t>compared with organisations without an FLS</w:t>
            </w:r>
            <w:r w:rsidRPr="00B40477">
              <w:rPr>
                <w:rStyle w:val="EndnoteReference"/>
                <w:rFonts w:ascii="Verdana" w:hAnsi="Verdana"/>
                <w:sz w:val="22"/>
                <w:szCs w:val="22"/>
              </w:rPr>
              <w:endnoteReference w:id="27"/>
            </w:r>
            <w:r w:rsidRPr="00B40477">
              <w:rPr>
                <w:rFonts w:ascii="Verdana" w:hAnsi="Verdana"/>
                <w:sz w:val="22"/>
                <w:szCs w:val="22"/>
              </w:rPr>
              <w:t>.</w:t>
            </w:r>
            <w:r w:rsidRPr="001B29A3">
              <w:rPr>
                <w:rFonts w:ascii="Verdana" w:hAnsi="Verdana" w:cs="Arial"/>
                <w:sz w:val="22"/>
                <w:szCs w:val="22"/>
              </w:rPr>
              <w:t xml:space="preserve"> </w:t>
            </w:r>
            <w:r>
              <w:rPr>
                <w:rFonts w:ascii="Verdana" w:hAnsi="Verdana" w:cs="Arial"/>
                <w:sz w:val="22"/>
                <w:szCs w:val="22"/>
              </w:rPr>
              <w:t xml:space="preserve">FLS is associated with </w:t>
            </w:r>
            <w:r w:rsidRPr="00B40477">
              <w:rPr>
                <w:rFonts w:ascii="Verdana" w:hAnsi="Verdana"/>
                <w:sz w:val="22"/>
                <w:szCs w:val="22"/>
              </w:rPr>
              <w:t>reduced mortality</w:t>
            </w:r>
            <w:r>
              <w:rPr>
                <w:rFonts w:ascii="Verdana" w:hAnsi="Verdana"/>
                <w:sz w:val="22"/>
                <w:szCs w:val="22"/>
              </w:rPr>
              <w:t xml:space="preserve"> </w:t>
            </w:r>
            <w:r w:rsidRPr="00B40477">
              <w:rPr>
                <w:rFonts w:ascii="Verdana" w:hAnsi="Verdana"/>
                <w:sz w:val="22"/>
                <w:szCs w:val="22"/>
              </w:rPr>
              <w:t>and it is cost-effective</w:t>
            </w:r>
            <w:r w:rsidRPr="00B40477">
              <w:rPr>
                <w:rStyle w:val="EndnoteReference"/>
                <w:rFonts w:ascii="Verdana" w:hAnsi="Verdana"/>
                <w:sz w:val="22"/>
                <w:szCs w:val="22"/>
              </w:rPr>
              <w:endnoteReference w:id="28"/>
            </w:r>
            <w:r w:rsidRPr="00B40477">
              <w:rPr>
                <w:rFonts w:ascii="Verdana" w:hAnsi="Verdana"/>
                <w:sz w:val="22"/>
                <w:szCs w:val="22"/>
              </w:rPr>
              <w:t>.</w:t>
            </w:r>
            <w:r>
              <w:rPr>
                <w:rFonts w:ascii="Verdana" w:hAnsi="Verdana"/>
                <w:sz w:val="22"/>
                <w:szCs w:val="22"/>
              </w:rPr>
              <w:t xml:space="preserve"> </w:t>
            </w:r>
            <w:r w:rsidRPr="00B40477">
              <w:rPr>
                <w:rFonts w:ascii="Verdana" w:hAnsi="Verdana" w:cs="Arial"/>
                <w:sz w:val="22"/>
                <w:szCs w:val="22"/>
              </w:rPr>
              <w:t>In May 2011, a formal cost-effectiveness analysis of the Glasgow FLS was published, which showed that be</w:t>
            </w:r>
            <w:r w:rsidRPr="00B40477">
              <w:rPr>
                <w:rFonts w:ascii="Verdana" w:hAnsi="Verdana"/>
                <w:bCs/>
                <w:sz w:val="22"/>
                <w:szCs w:val="22"/>
                <w:lang w:eastAsia="en-GB"/>
              </w:rPr>
              <w:t>tween 1998-2008 the Glasgow FLS saw hip fracture numbers in Glasgow reduced by 7.3% versus an almost 17% increase in England (1.8% per year)</w:t>
            </w:r>
            <w:r w:rsidRPr="00B40477">
              <w:rPr>
                <w:rStyle w:val="EndnoteReference"/>
                <w:rFonts w:ascii="Verdana" w:hAnsi="Verdana"/>
                <w:bCs/>
                <w:sz w:val="22"/>
                <w:szCs w:val="22"/>
                <w:lang w:eastAsia="en-GB"/>
              </w:rPr>
              <w:endnoteReference w:id="29"/>
            </w:r>
            <w:r w:rsidRPr="00B40477">
              <w:rPr>
                <w:rFonts w:ascii="Verdana" w:hAnsi="Verdana" w:cs="Arial"/>
                <w:sz w:val="22"/>
                <w:szCs w:val="22"/>
              </w:rPr>
              <w:t>.</w:t>
            </w:r>
            <w:r w:rsidRPr="001B29A3">
              <w:rPr>
                <w:rFonts w:ascii="Verdana" w:hAnsi="Verdana"/>
                <w:sz w:val="22"/>
                <w:szCs w:val="22"/>
              </w:rPr>
              <w:t xml:space="preserve"> </w:t>
            </w:r>
            <w:r w:rsidRPr="00B40477">
              <w:rPr>
                <w:rFonts w:ascii="Verdana" w:hAnsi="Verdana"/>
                <w:sz w:val="22"/>
                <w:szCs w:val="22"/>
              </w:rPr>
              <w:t>Effective secondary fracture prevention throughout the NHS would prevent over 46,000 avoidable fragility fractures (including nearly 20,000 hip fractures) over 5 years in the UK</w:t>
            </w:r>
            <w:r w:rsidRPr="00B40477">
              <w:rPr>
                <w:rStyle w:val="EndnoteReference"/>
                <w:rFonts w:ascii="Verdana" w:hAnsi="Verdana"/>
                <w:sz w:val="22"/>
                <w:szCs w:val="22"/>
              </w:rPr>
              <w:endnoteReference w:id="30"/>
            </w:r>
            <w:r w:rsidRPr="00B40477">
              <w:rPr>
                <w:rFonts w:ascii="Verdana" w:hAnsi="Verdana"/>
                <w:sz w:val="22"/>
                <w:szCs w:val="22"/>
              </w:rPr>
              <w:t xml:space="preserve">. </w:t>
            </w:r>
            <w:bookmarkStart w:id="1" w:name="_Hlk10194509"/>
            <w:r>
              <w:rPr>
                <w:rFonts w:ascii="Verdana" w:hAnsi="Verdana"/>
                <w:sz w:val="22"/>
                <w:szCs w:val="22"/>
              </w:rPr>
              <w:t>In Glasgow, i</w:t>
            </w:r>
            <w:r w:rsidRPr="00B40477">
              <w:rPr>
                <w:rFonts w:ascii="Verdana" w:hAnsi="Verdana" w:cs="Arial"/>
                <w:sz w:val="22"/>
                <w:szCs w:val="22"/>
              </w:rPr>
              <w:t>t was concluded that £21,000 was saved per 1,000 patients that were managed though the service</w:t>
            </w:r>
            <w:r w:rsidRPr="00B40477">
              <w:rPr>
                <w:rStyle w:val="EndnoteReference"/>
                <w:rFonts w:ascii="Verdana" w:hAnsi="Verdana" w:cs="Arial"/>
                <w:sz w:val="22"/>
                <w:szCs w:val="22"/>
              </w:rPr>
              <w:endnoteReference w:id="31"/>
            </w:r>
            <w:r w:rsidRPr="00B40477">
              <w:rPr>
                <w:rFonts w:ascii="Verdana" w:hAnsi="Verdana" w:cs="Arial"/>
                <w:sz w:val="22"/>
                <w:szCs w:val="22"/>
              </w:rPr>
              <w:t xml:space="preserve">. </w:t>
            </w:r>
            <w:bookmarkEnd w:id="1"/>
          </w:p>
          <w:p w14:paraId="74525B01" w14:textId="154B571B" w:rsidR="00406FB7" w:rsidRPr="008F3214" w:rsidRDefault="00B40477" w:rsidP="00B4626C">
            <w:pPr>
              <w:jc w:val="both"/>
              <w:rPr>
                <w:rFonts w:ascii="Verdana" w:hAnsi="Verdana" w:cs="Segoe UI"/>
                <w:sz w:val="22"/>
                <w:szCs w:val="22"/>
                <w:shd w:val="clear" w:color="auto" w:fill="FFFFFF"/>
              </w:rPr>
            </w:pPr>
            <w:r w:rsidRPr="00560961">
              <w:rPr>
                <w:rFonts w:ascii="Verdana" w:hAnsi="Verdana" w:cs="Arial"/>
                <w:sz w:val="22"/>
                <w:szCs w:val="22"/>
              </w:rPr>
              <w:t>The FLS model, as recommended in Public Health England’s Falls and Fragility Fracture Consensus statement (2017)</w:t>
            </w:r>
            <w:r w:rsidR="00820C07">
              <w:rPr>
                <w:rFonts w:ascii="Verdana" w:hAnsi="Verdana" w:cs="Arial"/>
                <w:sz w:val="22"/>
                <w:szCs w:val="22"/>
              </w:rPr>
              <w:t xml:space="preserve"> a</w:t>
            </w:r>
            <w:r w:rsidRPr="00560961">
              <w:rPr>
                <w:rFonts w:ascii="Verdana" w:hAnsi="Verdana" w:cs="Arial"/>
                <w:sz w:val="22"/>
                <w:szCs w:val="22"/>
              </w:rPr>
              <w:t>s an evidence-based, cost effective, preventative intervention that can help to improve the health of the population and reduce health and care service demand</w:t>
            </w:r>
            <w:r w:rsidRPr="00560961">
              <w:rPr>
                <w:rStyle w:val="EndnoteReference"/>
                <w:rFonts w:ascii="Verdana" w:hAnsi="Verdana" w:cs="Arial"/>
                <w:sz w:val="22"/>
                <w:szCs w:val="22"/>
              </w:rPr>
              <w:endnoteReference w:id="32"/>
            </w:r>
            <w:r w:rsidRPr="00560961">
              <w:rPr>
                <w:rFonts w:ascii="Verdana" w:hAnsi="Verdana" w:cs="Arial"/>
                <w:sz w:val="22"/>
                <w:szCs w:val="22"/>
              </w:rPr>
              <w:t>.</w:t>
            </w:r>
            <w:r w:rsidR="008F3214">
              <w:rPr>
                <w:rFonts w:ascii="Verdana" w:hAnsi="Verdana" w:cs="Arial"/>
                <w:sz w:val="22"/>
                <w:szCs w:val="22"/>
              </w:rPr>
              <w:t xml:space="preserve"> </w:t>
            </w:r>
            <w:r w:rsidR="00406FB7" w:rsidRPr="00C25469">
              <w:rPr>
                <w:rFonts w:ascii="Verdana" w:hAnsi="Verdana" w:cs="Arial"/>
                <w:sz w:val="20"/>
              </w:rPr>
              <w:t xml:space="preserve">In </w:t>
            </w:r>
            <w:r w:rsidR="00406FB7" w:rsidRPr="008F3214">
              <w:rPr>
                <w:rFonts w:ascii="Verdana" w:hAnsi="Verdana" w:cs="Arial"/>
                <w:sz w:val="22"/>
                <w:szCs w:val="22"/>
              </w:rPr>
              <w:t>addition, N</w:t>
            </w:r>
            <w:r w:rsidR="00406FB7" w:rsidRPr="008F3214">
              <w:rPr>
                <w:rFonts w:ascii="Verdana" w:hAnsi="Verdana" w:cs="Segoe UI"/>
                <w:sz w:val="22"/>
                <w:szCs w:val="22"/>
                <w:shd w:val="clear" w:color="auto" w:fill="FFFFFF"/>
              </w:rPr>
              <w:t>HS RightCare, whose pathways are designed to support local health economies to concentrate their improvement efforts where there is greatest opportunity to address variation and improve population health, recommend that c</w:t>
            </w:r>
            <w:r w:rsidR="00406FB7" w:rsidRPr="008F3214">
              <w:rPr>
                <w:rFonts w:ascii="Verdana" w:hAnsi="Verdana"/>
                <w:sz w:val="22"/>
                <w:szCs w:val="22"/>
              </w:rPr>
              <w:t>ommissioners focus on three priorities including: falls prevention; detecting and managing osteoporosis and providing optimal support after a fragility fracture.</w:t>
            </w:r>
            <w:r w:rsidR="00310D5A" w:rsidRPr="008F3214">
              <w:rPr>
                <w:rFonts w:ascii="Verdana" w:hAnsi="Verdana"/>
                <w:sz w:val="22"/>
                <w:szCs w:val="22"/>
              </w:rPr>
              <w:t xml:space="preserve"> </w:t>
            </w:r>
            <w:r w:rsidR="00406FB7" w:rsidRPr="008F3214">
              <w:rPr>
                <w:rFonts w:ascii="Verdana" w:hAnsi="Verdana"/>
                <w:sz w:val="22"/>
                <w:szCs w:val="22"/>
              </w:rPr>
              <w:t>They identify fracture prevention services, incorporating 4 and 12 month follow-up of patients, as a high value intervention on the basis that effective case-finding and appropriate drug treatment reduces risk of further fractures by up to 50%</w:t>
            </w:r>
            <w:r w:rsidR="00310D5A" w:rsidRPr="008F3214">
              <w:rPr>
                <w:rStyle w:val="EndnoteReference"/>
                <w:rFonts w:ascii="Verdana" w:hAnsi="Verdana"/>
                <w:sz w:val="22"/>
                <w:szCs w:val="22"/>
              </w:rPr>
              <w:endnoteReference w:id="33"/>
            </w:r>
            <w:r w:rsidR="00406FB7" w:rsidRPr="008F3214">
              <w:rPr>
                <w:rFonts w:ascii="Verdana" w:hAnsi="Verdana" w:cs="Segoe UI"/>
                <w:sz w:val="22"/>
                <w:szCs w:val="22"/>
                <w:shd w:val="clear" w:color="auto" w:fill="FFFFFF"/>
              </w:rPr>
              <w:t xml:space="preserve">.  </w:t>
            </w:r>
          </w:p>
          <w:p w14:paraId="167A2CA7" w14:textId="4F90DC4C" w:rsidR="00935A5B" w:rsidRDefault="00935A5B" w:rsidP="00935A5B">
            <w:pPr>
              <w:pStyle w:val="Sub-heading"/>
              <w:numPr>
                <w:ilvl w:val="0"/>
                <w:numId w:val="0"/>
              </w:numPr>
              <w:rPr>
                <w:rFonts w:ascii="Verdana" w:hAnsi="Verdana"/>
                <w:sz w:val="22"/>
                <w:szCs w:val="22"/>
              </w:rPr>
            </w:pPr>
            <w:r>
              <w:rPr>
                <w:rFonts w:ascii="Verdana" w:hAnsi="Verdana"/>
                <w:sz w:val="22"/>
                <w:szCs w:val="22"/>
              </w:rPr>
              <w:t>Local Context</w:t>
            </w:r>
          </w:p>
          <w:p w14:paraId="280246FA" w14:textId="00CB3922" w:rsidR="00935A5B" w:rsidRPr="00560961" w:rsidRDefault="00935A5B" w:rsidP="005C241E">
            <w:pPr>
              <w:pStyle w:val="Sub-heading"/>
              <w:numPr>
                <w:ilvl w:val="0"/>
                <w:numId w:val="0"/>
              </w:numPr>
              <w:rPr>
                <w:rFonts w:ascii="Verdana" w:hAnsi="Verdana"/>
                <w:b w:val="0"/>
                <w:sz w:val="22"/>
                <w:szCs w:val="22"/>
              </w:rPr>
            </w:pPr>
            <w:r w:rsidRPr="005C241E">
              <w:rPr>
                <w:rFonts w:ascii="Verdana" w:hAnsi="Verdana"/>
                <w:color w:val="000000" w:themeColor="text1"/>
                <w:sz w:val="22"/>
                <w:szCs w:val="22"/>
              </w:rPr>
              <w:t xml:space="preserve">[use this space to add the local context </w:t>
            </w:r>
            <w:r w:rsidR="005C241E" w:rsidRPr="005C241E">
              <w:rPr>
                <w:rFonts w:ascii="Verdana" w:hAnsi="Verdana"/>
                <w:color w:val="000000" w:themeColor="text1"/>
                <w:sz w:val="22"/>
                <w:szCs w:val="22"/>
              </w:rPr>
              <w:t>for FLS]</w:t>
            </w:r>
          </w:p>
        </w:tc>
      </w:tr>
      <w:tr w:rsidR="00075A83" w:rsidRPr="00BB3B60" w14:paraId="4720012F" w14:textId="77777777" w:rsidTr="344A66DE">
        <w:trPr>
          <w:trHeight w:val="121"/>
        </w:trPr>
        <w:tc>
          <w:tcPr>
            <w:tcW w:w="8908" w:type="dxa"/>
            <w:shd w:val="clear" w:color="auto" w:fill="595959" w:themeFill="text1" w:themeFillTint="A6"/>
          </w:tcPr>
          <w:p w14:paraId="4445DC44" w14:textId="77777777" w:rsidR="00075A83" w:rsidRPr="00BB3B60" w:rsidRDefault="00075A83" w:rsidP="00BD24E3">
            <w:pPr>
              <w:pStyle w:val="Mainheading"/>
              <w:tabs>
                <w:tab w:val="left" w:pos="720"/>
                <w:tab w:val="left" w:pos="1440"/>
                <w:tab w:val="left" w:pos="2160"/>
                <w:tab w:val="right" w:pos="8692"/>
              </w:tabs>
              <w:jc w:val="both"/>
              <w:rPr>
                <w:rFonts w:ascii="Verdana" w:hAnsi="Verdana"/>
                <w:sz w:val="22"/>
                <w:szCs w:val="22"/>
              </w:rPr>
            </w:pPr>
            <w:r w:rsidRPr="00BB3B60">
              <w:rPr>
                <w:rFonts w:ascii="Verdana" w:hAnsi="Verdana"/>
                <w:sz w:val="22"/>
                <w:szCs w:val="22"/>
              </w:rPr>
              <w:lastRenderedPageBreak/>
              <w:t>2.</w:t>
            </w:r>
            <w:r w:rsidRPr="00BB3B60">
              <w:rPr>
                <w:rFonts w:ascii="Verdana" w:hAnsi="Verdana"/>
                <w:sz w:val="22"/>
                <w:szCs w:val="22"/>
              </w:rPr>
              <w:tab/>
              <w:t>Outcomes</w:t>
            </w:r>
            <w:r w:rsidR="00574589" w:rsidRPr="00BB3B60">
              <w:rPr>
                <w:rFonts w:ascii="Verdana" w:hAnsi="Verdana"/>
                <w:sz w:val="22"/>
                <w:szCs w:val="22"/>
              </w:rPr>
              <w:tab/>
            </w:r>
          </w:p>
        </w:tc>
      </w:tr>
      <w:tr w:rsidR="00075A83" w:rsidRPr="00BB3B60" w14:paraId="3B087290" w14:textId="77777777" w:rsidTr="344A66DE">
        <w:trPr>
          <w:trHeight w:val="121"/>
        </w:trPr>
        <w:tc>
          <w:tcPr>
            <w:tcW w:w="8908" w:type="dxa"/>
            <w:shd w:val="clear" w:color="auto" w:fill="FFFFFF" w:themeFill="background1"/>
          </w:tcPr>
          <w:p w14:paraId="31DA31CE" w14:textId="77777777" w:rsidR="00454466" w:rsidRPr="00E7353A" w:rsidRDefault="00075A83" w:rsidP="00BD24E3">
            <w:pPr>
              <w:spacing w:before="120" w:after="120"/>
              <w:jc w:val="both"/>
              <w:rPr>
                <w:rFonts w:ascii="Verdana" w:hAnsi="Verdana" w:cs="Arial"/>
                <w:b/>
                <w:color w:val="009966"/>
                <w:sz w:val="22"/>
                <w:szCs w:val="22"/>
                <w:lang w:val="en-GB"/>
              </w:rPr>
            </w:pPr>
            <w:r w:rsidRPr="00E7353A">
              <w:rPr>
                <w:rFonts w:ascii="Verdana" w:hAnsi="Verdana" w:cs="Arial"/>
                <w:b/>
                <w:color w:val="00B050"/>
                <w:sz w:val="22"/>
                <w:szCs w:val="22"/>
                <w:lang w:val="en-GB"/>
              </w:rPr>
              <w:t>2.1</w:t>
            </w:r>
            <w:r w:rsidR="000B2192" w:rsidRPr="00E7353A">
              <w:rPr>
                <w:rFonts w:ascii="Verdana" w:hAnsi="Verdana" w:cs="Arial"/>
                <w:b/>
                <w:color w:val="00B050"/>
                <w:sz w:val="22"/>
                <w:szCs w:val="22"/>
                <w:lang w:val="en-GB"/>
              </w:rPr>
              <w:t xml:space="preserve"> </w:t>
            </w:r>
            <w:r w:rsidRPr="00E7353A">
              <w:rPr>
                <w:rFonts w:ascii="Verdana" w:hAnsi="Verdana" w:cs="Arial"/>
                <w:b/>
                <w:color w:val="009966"/>
                <w:sz w:val="22"/>
                <w:szCs w:val="22"/>
                <w:lang w:val="en-GB"/>
              </w:rPr>
              <w:t>NHS Outcomes Framework Domains &amp; Indicators</w:t>
            </w:r>
          </w:p>
          <w:p w14:paraId="40D24DB1" w14:textId="392098BA" w:rsidR="004D346F" w:rsidRPr="00E7353A" w:rsidRDefault="004D346F" w:rsidP="004D346F">
            <w:pPr>
              <w:jc w:val="both"/>
              <w:rPr>
                <w:rFonts w:ascii="Verdana" w:hAnsi="Verdana" w:cs="Arial"/>
                <w:color w:val="000000" w:themeColor="text1"/>
                <w:sz w:val="22"/>
                <w:szCs w:val="22"/>
                <w:lang w:val="en-GB"/>
              </w:rPr>
            </w:pPr>
            <w:r w:rsidRPr="00E7353A">
              <w:rPr>
                <w:rFonts w:ascii="Verdana" w:hAnsi="Verdana"/>
                <w:sz w:val="22"/>
                <w:szCs w:val="22"/>
                <w:lang w:val="en-GB"/>
              </w:rPr>
              <w:t>This section sets out the indicators in each of the outcome frameworks to which an F</w:t>
            </w:r>
            <w:r w:rsidR="00BD2522" w:rsidRPr="00E7353A">
              <w:rPr>
                <w:rFonts w:ascii="Verdana" w:hAnsi="Verdana"/>
                <w:sz w:val="22"/>
                <w:szCs w:val="22"/>
                <w:lang w:val="en-GB"/>
              </w:rPr>
              <w:t>L</w:t>
            </w:r>
            <w:r w:rsidRPr="00E7353A">
              <w:rPr>
                <w:rFonts w:ascii="Verdana" w:hAnsi="Verdana"/>
                <w:sz w:val="22"/>
                <w:szCs w:val="22"/>
                <w:lang w:val="en-GB"/>
              </w:rPr>
              <w:t>S will contribute to the achievement.</w:t>
            </w:r>
            <w:r w:rsidRPr="00E7353A">
              <w:rPr>
                <w:rFonts w:ascii="Verdana" w:hAnsi="Verdana" w:cs="Arial"/>
                <w:color w:val="000000" w:themeColor="text1"/>
                <w:sz w:val="22"/>
                <w:szCs w:val="22"/>
                <w:lang w:val="en-GB"/>
              </w:rPr>
              <w:t xml:space="preserve"> </w:t>
            </w:r>
          </w:p>
          <w:p w14:paraId="5EFB4582" w14:textId="77777777" w:rsidR="004D346F" w:rsidRPr="00E7353A" w:rsidRDefault="004D346F" w:rsidP="004D346F">
            <w:pPr>
              <w:spacing w:after="120"/>
              <w:jc w:val="both"/>
              <w:rPr>
                <w:rFonts w:ascii="Verdana" w:hAnsi="Verdana" w:cs="Arial"/>
                <w:b/>
                <w:color w:val="009966"/>
                <w:sz w:val="22"/>
                <w:szCs w:val="22"/>
                <w:lang w:val="en-GB"/>
              </w:rPr>
            </w:pPr>
            <w:r w:rsidRPr="00E7353A">
              <w:rPr>
                <w:rFonts w:ascii="Verdana" w:hAnsi="Verdana" w:cs="Arial"/>
                <w:b/>
                <w:color w:val="009966"/>
                <w:sz w:val="22"/>
                <w:szCs w:val="22"/>
                <w:lang w:val="en-GB"/>
              </w:rPr>
              <w:t>NHS Outcomes Framework (2019/20)</w:t>
            </w:r>
          </w:p>
          <w:p w14:paraId="68A66DA2" w14:textId="024D1CAA" w:rsidR="004D346F" w:rsidRPr="00E7353A" w:rsidRDefault="001E69B3" w:rsidP="004D346F">
            <w:pPr>
              <w:spacing w:after="120"/>
              <w:rPr>
                <w:rFonts w:ascii="Verdana" w:hAnsi="Verdana" w:cstheme="minorHAnsi"/>
                <w:iCs/>
                <w:sz w:val="22"/>
                <w:szCs w:val="22"/>
              </w:rPr>
            </w:pPr>
            <w:sdt>
              <w:sdtPr>
                <w:rPr>
                  <w:rFonts w:ascii="Verdana" w:hAnsi="Verdana"/>
                  <w:sz w:val="22"/>
                  <w:szCs w:val="22"/>
                </w:rPr>
                <w:id w:val="-1274481426"/>
                <w14:checkbox>
                  <w14:checked w14:val="1"/>
                  <w14:checkedState w14:val="2612" w14:font="MS Gothic"/>
                  <w14:uncheckedState w14:val="2610" w14:font="MS Gothic"/>
                </w14:checkbox>
              </w:sdtPr>
              <w:sdtEndPr/>
              <w:sdtContent>
                <w:r w:rsidR="005613EE" w:rsidRPr="00E7353A">
                  <w:rPr>
                    <w:rFonts w:ascii="MS Gothic" w:eastAsia="MS Gothic" w:hAnsi="MS Gothic" w:hint="eastAsia"/>
                    <w:sz w:val="22"/>
                    <w:szCs w:val="22"/>
                  </w:rPr>
                  <w:t>☒</w:t>
                </w:r>
              </w:sdtContent>
            </w:sdt>
            <w:r w:rsidR="004D346F" w:rsidRPr="00E7353A">
              <w:rPr>
                <w:rFonts w:ascii="Verdana" w:hAnsi="Verdana" w:cstheme="minorHAnsi"/>
                <w:iCs/>
                <w:sz w:val="22"/>
                <w:szCs w:val="22"/>
              </w:rPr>
              <w:t xml:space="preserve"> DOMAIN 1:  Preventing people from dying prematurely</w:t>
            </w:r>
          </w:p>
          <w:p w14:paraId="53C8BEC9" w14:textId="1FA215DC" w:rsidR="004D346F" w:rsidRPr="00E7353A" w:rsidRDefault="001E69B3" w:rsidP="004D346F">
            <w:pPr>
              <w:pStyle w:val="ListParagraph"/>
              <w:spacing w:after="120"/>
              <w:ind w:left="1623" w:hanging="1276"/>
              <w:rPr>
                <w:rFonts w:ascii="Verdana" w:hAnsi="Verdana" w:cstheme="minorHAnsi"/>
                <w:iCs/>
                <w:sz w:val="22"/>
                <w:szCs w:val="22"/>
              </w:rPr>
            </w:pPr>
            <w:sdt>
              <w:sdtPr>
                <w:rPr>
                  <w:rFonts w:ascii="Verdana" w:hAnsi="Verdana"/>
                  <w:sz w:val="22"/>
                  <w:szCs w:val="22"/>
                </w:rPr>
                <w:id w:val="618810723"/>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iCs/>
                <w:sz w:val="22"/>
                <w:szCs w:val="22"/>
              </w:rPr>
              <w:t xml:space="preserve"> 1a.i       Potential years of life lost from causes from causes considered</w:t>
            </w:r>
            <w:r w:rsidR="004F57FF" w:rsidRPr="00E7353A">
              <w:rPr>
                <w:rFonts w:ascii="Verdana" w:hAnsi="Verdana" w:cstheme="minorHAnsi"/>
                <w:iCs/>
                <w:sz w:val="22"/>
                <w:szCs w:val="22"/>
              </w:rPr>
              <w:t xml:space="preserve"> </w:t>
            </w:r>
            <w:r w:rsidR="004D346F" w:rsidRPr="00E7353A">
              <w:rPr>
                <w:rFonts w:ascii="Verdana" w:hAnsi="Verdana" w:cstheme="minorHAnsi"/>
                <w:iCs/>
                <w:sz w:val="22"/>
                <w:szCs w:val="22"/>
              </w:rPr>
              <w:t>amenable to healthcare – Adults</w:t>
            </w:r>
          </w:p>
          <w:p w14:paraId="574C042D" w14:textId="25C0DA68" w:rsidR="004D346F" w:rsidRPr="00E7353A" w:rsidRDefault="001E69B3" w:rsidP="004D346F">
            <w:pPr>
              <w:pStyle w:val="ListParagraph"/>
              <w:spacing w:after="120"/>
              <w:ind w:left="1198" w:hanging="851"/>
              <w:rPr>
                <w:rFonts w:ascii="Verdana" w:hAnsi="Verdana" w:cstheme="minorHAnsi"/>
                <w:iCs/>
                <w:sz w:val="22"/>
                <w:szCs w:val="22"/>
              </w:rPr>
            </w:pPr>
            <w:sdt>
              <w:sdtPr>
                <w:rPr>
                  <w:rFonts w:ascii="Verdana" w:hAnsi="Verdana"/>
                  <w:sz w:val="22"/>
                  <w:szCs w:val="22"/>
                </w:rPr>
                <w:id w:val="57060710"/>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iCs/>
                <w:sz w:val="22"/>
                <w:szCs w:val="22"/>
              </w:rPr>
              <w:t xml:space="preserve"> 1b.i       Life expectancy at 75 - Males</w:t>
            </w:r>
          </w:p>
          <w:p w14:paraId="1A49266A" w14:textId="77777777" w:rsidR="004D346F" w:rsidRPr="00E7353A" w:rsidRDefault="001E69B3" w:rsidP="004D346F">
            <w:pPr>
              <w:pStyle w:val="ListParagraph"/>
              <w:spacing w:after="120"/>
              <w:ind w:left="1198" w:hanging="851"/>
              <w:rPr>
                <w:rFonts w:ascii="Verdana" w:hAnsi="Verdana" w:cstheme="minorHAnsi"/>
                <w:iCs/>
                <w:sz w:val="22"/>
                <w:szCs w:val="22"/>
              </w:rPr>
            </w:pPr>
            <w:sdt>
              <w:sdtPr>
                <w:rPr>
                  <w:rFonts w:ascii="Verdana" w:hAnsi="Verdana"/>
                  <w:sz w:val="22"/>
                  <w:szCs w:val="22"/>
                </w:rPr>
                <w:id w:val="1261111833"/>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iCs/>
                <w:sz w:val="22"/>
                <w:szCs w:val="22"/>
              </w:rPr>
              <w:t xml:space="preserve"> 1</w:t>
            </w:r>
            <w:proofErr w:type="gramStart"/>
            <w:r w:rsidR="004D346F" w:rsidRPr="00E7353A">
              <w:rPr>
                <w:rFonts w:ascii="Verdana" w:hAnsi="Verdana" w:cstheme="minorHAnsi"/>
                <w:iCs/>
                <w:sz w:val="22"/>
                <w:szCs w:val="22"/>
              </w:rPr>
              <w:t>b.ii</w:t>
            </w:r>
            <w:proofErr w:type="gramEnd"/>
            <w:r w:rsidR="004D346F" w:rsidRPr="00E7353A">
              <w:rPr>
                <w:rFonts w:ascii="Verdana" w:hAnsi="Verdana" w:cstheme="minorHAnsi"/>
                <w:iCs/>
                <w:sz w:val="22"/>
                <w:szCs w:val="22"/>
              </w:rPr>
              <w:t xml:space="preserve">      Life expectancy at 75 - Females</w:t>
            </w:r>
          </w:p>
          <w:p w14:paraId="035371D9" w14:textId="77777777" w:rsidR="004D346F" w:rsidRPr="00E7353A" w:rsidRDefault="001E69B3" w:rsidP="004D346F">
            <w:pPr>
              <w:spacing w:after="120"/>
              <w:rPr>
                <w:rFonts w:ascii="Verdana" w:hAnsi="Verdana" w:cstheme="minorHAnsi"/>
                <w:iCs/>
                <w:sz w:val="22"/>
                <w:szCs w:val="22"/>
              </w:rPr>
            </w:pPr>
            <w:sdt>
              <w:sdtPr>
                <w:rPr>
                  <w:rFonts w:ascii="Verdana" w:hAnsi="Verdana"/>
                  <w:sz w:val="22"/>
                  <w:szCs w:val="22"/>
                </w:rPr>
                <w:id w:val="1663884642"/>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iCs/>
                <w:sz w:val="22"/>
                <w:szCs w:val="22"/>
              </w:rPr>
              <w:t xml:space="preserve"> DOMAIN 2: Enhancing quality of life for people with long-term conditions</w:t>
            </w:r>
          </w:p>
          <w:p w14:paraId="3343544B" w14:textId="7621CA22" w:rsidR="004D346F" w:rsidRPr="00E7353A" w:rsidRDefault="001E69B3" w:rsidP="004D346F">
            <w:pPr>
              <w:pStyle w:val="ListParagraph"/>
              <w:spacing w:after="120"/>
              <w:ind w:left="1623" w:hanging="1276"/>
              <w:rPr>
                <w:rFonts w:ascii="Verdana" w:hAnsi="Verdana"/>
                <w:iCs/>
                <w:sz w:val="22"/>
                <w:szCs w:val="22"/>
              </w:rPr>
            </w:pPr>
            <w:sdt>
              <w:sdtPr>
                <w:rPr>
                  <w:rFonts w:ascii="Verdana" w:hAnsi="Verdana"/>
                  <w:sz w:val="22"/>
                  <w:szCs w:val="22"/>
                </w:rPr>
                <w:id w:val="-1905672515"/>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iCs/>
                <w:sz w:val="22"/>
                <w:szCs w:val="22"/>
              </w:rPr>
              <w:t xml:space="preserve"> 2          Health-related quality of life for people with long-term conditions</w:t>
            </w:r>
          </w:p>
          <w:p w14:paraId="39059F82" w14:textId="6DF549EC" w:rsidR="004D346F" w:rsidRPr="00E7353A" w:rsidRDefault="001E69B3" w:rsidP="004D346F">
            <w:pPr>
              <w:pStyle w:val="ListParagraph"/>
              <w:spacing w:after="120"/>
              <w:ind w:left="1623" w:hanging="1276"/>
              <w:rPr>
                <w:rFonts w:ascii="Verdana" w:hAnsi="Verdana"/>
                <w:iCs/>
                <w:sz w:val="22"/>
                <w:szCs w:val="22"/>
              </w:rPr>
            </w:pPr>
            <w:sdt>
              <w:sdtPr>
                <w:rPr>
                  <w:rFonts w:ascii="Verdana" w:hAnsi="Verdana"/>
                  <w:sz w:val="22"/>
                  <w:szCs w:val="22"/>
                </w:rPr>
                <w:id w:val="-941456604"/>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iCs/>
                <w:sz w:val="22"/>
                <w:szCs w:val="22"/>
              </w:rPr>
              <w:t xml:space="preserve"> 2.1       Proportion of people feeling supported to manage their condition</w:t>
            </w:r>
          </w:p>
          <w:p w14:paraId="27C51C0A" w14:textId="282D53D1" w:rsidR="004D346F" w:rsidRPr="00E7353A" w:rsidRDefault="001E69B3" w:rsidP="004D346F">
            <w:pPr>
              <w:pStyle w:val="ListParagraph"/>
              <w:spacing w:after="120"/>
              <w:ind w:left="1481" w:hanging="1134"/>
              <w:rPr>
                <w:rFonts w:ascii="Verdana" w:hAnsi="Verdana"/>
                <w:iCs/>
                <w:sz w:val="22"/>
                <w:szCs w:val="22"/>
              </w:rPr>
            </w:pPr>
            <w:sdt>
              <w:sdtPr>
                <w:rPr>
                  <w:rFonts w:ascii="Verdana" w:hAnsi="Verdana"/>
                  <w:sz w:val="22"/>
                  <w:szCs w:val="22"/>
                </w:rPr>
                <w:id w:val="-481083070"/>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iCs/>
                <w:sz w:val="22"/>
                <w:szCs w:val="22"/>
              </w:rPr>
              <w:t xml:space="preserve"> 2.3.i     Unplanned hospitalisation for chronic ambulatory care sensitive   conditions</w:t>
            </w:r>
          </w:p>
          <w:p w14:paraId="4FD16EFE" w14:textId="725FBBDE" w:rsidR="004D346F" w:rsidRPr="00E7353A" w:rsidRDefault="001E69B3" w:rsidP="004D346F">
            <w:pPr>
              <w:pStyle w:val="ListParagraph"/>
              <w:spacing w:after="120"/>
              <w:ind w:left="1198" w:hanging="851"/>
              <w:rPr>
                <w:rFonts w:ascii="Verdana" w:hAnsi="Verdana"/>
                <w:iCs/>
                <w:sz w:val="22"/>
                <w:szCs w:val="22"/>
              </w:rPr>
            </w:pPr>
            <w:sdt>
              <w:sdtPr>
                <w:rPr>
                  <w:rFonts w:ascii="Verdana" w:hAnsi="Verdana"/>
                  <w:sz w:val="22"/>
                  <w:szCs w:val="22"/>
                </w:rPr>
                <w:id w:val="-1827972422"/>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iCs/>
                <w:sz w:val="22"/>
                <w:szCs w:val="22"/>
              </w:rPr>
              <w:t xml:space="preserve"> 2.4       Health related quality of life for carers</w:t>
            </w:r>
          </w:p>
          <w:p w14:paraId="309BEB6E" w14:textId="7F942BC2" w:rsidR="004D346F" w:rsidRPr="00E7353A" w:rsidRDefault="001E69B3" w:rsidP="004D346F">
            <w:pPr>
              <w:spacing w:after="120"/>
              <w:ind w:left="1623" w:hanging="1701"/>
              <w:rPr>
                <w:rFonts w:ascii="Verdana" w:hAnsi="Verdana" w:cstheme="minorHAnsi"/>
                <w:iCs/>
                <w:sz w:val="22"/>
                <w:szCs w:val="22"/>
              </w:rPr>
            </w:pPr>
            <w:sdt>
              <w:sdtPr>
                <w:rPr>
                  <w:rFonts w:ascii="Verdana" w:hAnsi="Verdana"/>
                  <w:sz w:val="22"/>
                  <w:szCs w:val="22"/>
                </w:rPr>
                <w:id w:val="-313569434"/>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iCs/>
                <w:sz w:val="22"/>
                <w:szCs w:val="22"/>
              </w:rPr>
              <w:t xml:space="preserve"> DOMAIN 3: Helping people to recover from episodes of ill health or following</w:t>
            </w:r>
            <w:r w:rsidR="009652E2" w:rsidRPr="00E7353A">
              <w:rPr>
                <w:rFonts w:ascii="Verdana" w:hAnsi="Verdana" w:cstheme="minorHAnsi"/>
                <w:iCs/>
                <w:sz w:val="22"/>
                <w:szCs w:val="22"/>
              </w:rPr>
              <w:t xml:space="preserve"> </w:t>
            </w:r>
            <w:r w:rsidR="004D346F" w:rsidRPr="00E7353A">
              <w:rPr>
                <w:rFonts w:ascii="Verdana" w:hAnsi="Verdana" w:cstheme="minorHAnsi"/>
                <w:iCs/>
                <w:sz w:val="22"/>
                <w:szCs w:val="22"/>
              </w:rPr>
              <w:t>injury</w:t>
            </w:r>
          </w:p>
          <w:p w14:paraId="68A396AD" w14:textId="795DF49C" w:rsidR="004D346F" w:rsidRPr="00E7353A" w:rsidRDefault="001E69B3" w:rsidP="004D346F">
            <w:pPr>
              <w:pStyle w:val="ListParagraph"/>
              <w:spacing w:after="120"/>
              <w:ind w:left="1481" w:hanging="1134"/>
              <w:rPr>
                <w:rFonts w:ascii="Verdana" w:hAnsi="Verdana" w:cstheme="minorHAnsi"/>
                <w:iCs/>
                <w:sz w:val="22"/>
                <w:szCs w:val="22"/>
              </w:rPr>
            </w:pPr>
            <w:sdt>
              <w:sdtPr>
                <w:rPr>
                  <w:rFonts w:ascii="Verdana" w:hAnsi="Verdana"/>
                  <w:sz w:val="22"/>
                  <w:szCs w:val="22"/>
                </w:rPr>
                <w:id w:val="309450802"/>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iCs/>
                <w:sz w:val="22"/>
                <w:szCs w:val="22"/>
              </w:rPr>
              <w:t xml:space="preserve"> 3.5.i     Hip fracture: Proportion of patients recovering to their previous levels of mobility at 30 days</w:t>
            </w:r>
          </w:p>
          <w:p w14:paraId="66D86222" w14:textId="65BC06CE" w:rsidR="004D346F" w:rsidRPr="00E7353A" w:rsidRDefault="001E69B3" w:rsidP="004D346F">
            <w:pPr>
              <w:pStyle w:val="ListParagraph"/>
              <w:spacing w:after="120"/>
              <w:ind w:left="1481" w:hanging="1134"/>
              <w:rPr>
                <w:rFonts w:ascii="Verdana" w:hAnsi="Verdana" w:cstheme="minorHAnsi"/>
                <w:iCs/>
                <w:sz w:val="22"/>
                <w:szCs w:val="22"/>
              </w:rPr>
            </w:pPr>
            <w:sdt>
              <w:sdtPr>
                <w:rPr>
                  <w:rFonts w:ascii="Verdana" w:hAnsi="Verdana"/>
                  <w:sz w:val="22"/>
                  <w:szCs w:val="22"/>
                </w:rPr>
                <w:id w:val="389165575"/>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iCs/>
                <w:sz w:val="22"/>
                <w:szCs w:val="22"/>
              </w:rPr>
              <w:t xml:space="preserve"> 3.5.ii    Proportion of patients recovering to their previous level of mobility at 120 days</w:t>
            </w:r>
          </w:p>
          <w:p w14:paraId="163992CA" w14:textId="77777777" w:rsidR="004D346F" w:rsidRPr="00E7353A" w:rsidRDefault="001E69B3" w:rsidP="004D346F">
            <w:pPr>
              <w:spacing w:after="120"/>
              <w:rPr>
                <w:rFonts w:ascii="Verdana" w:hAnsi="Verdana" w:cstheme="minorHAnsi"/>
                <w:bCs/>
                <w:sz w:val="22"/>
                <w:szCs w:val="22"/>
              </w:rPr>
            </w:pPr>
            <w:sdt>
              <w:sdtPr>
                <w:rPr>
                  <w:rFonts w:ascii="Verdana" w:hAnsi="Verdana"/>
                  <w:sz w:val="22"/>
                  <w:szCs w:val="22"/>
                </w:rPr>
                <w:id w:val="-96877994"/>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bCs/>
                <w:sz w:val="22"/>
                <w:szCs w:val="22"/>
              </w:rPr>
              <w:t xml:space="preserve"> DOMAIN 4: Ensuring that people have a positive experience of care</w:t>
            </w:r>
          </w:p>
          <w:p w14:paraId="39C0FA18" w14:textId="247DF478" w:rsidR="004D346F" w:rsidRPr="00E7353A" w:rsidRDefault="001E69B3" w:rsidP="004D346F">
            <w:pPr>
              <w:pStyle w:val="ListParagraph"/>
              <w:spacing w:after="120"/>
              <w:ind w:left="773" w:hanging="426"/>
              <w:rPr>
                <w:rFonts w:ascii="Verdana" w:hAnsi="Verdana" w:cstheme="minorHAnsi"/>
                <w:bCs/>
                <w:sz w:val="22"/>
                <w:szCs w:val="22"/>
              </w:rPr>
            </w:pPr>
            <w:sdt>
              <w:sdtPr>
                <w:rPr>
                  <w:rFonts w:ascii="Verdana" w:hAnsi="Verdana"/>
                  <w:sz w:val="22"/>
                  <w:szCs w:val="22"/>
                </w:rPr>
                <w:id w:val="2087107876"/>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bCs/>
                <w:sz w:val="22"/>
                <w:szCs w:val="22"/>
              </w:rPr>
              <w:t xml:space="preserve"> 4b        Patient experience of hospital care</w:t>
            </w:r>
          </w:p>
          <w:p w14:paraId="3B4732BA" w14:textId="0F18535F" w:rsidR="004D346F" w:rsidRPr="00E7353A" w:rsidRDefault="001E69B3" w:rsidP="004D346F">
            <w:pPr>
              <w:pStyle w:val="ListParagraph"/>
              <w:spacing w:after="120"/>
              <w:ind w:left="773" w:hanging="426"/>
              <w:rPr>
                <w:rFonts w:ascii="Verdana" w:hAnsi="Verdana" w:cstheme="minorHAnsi"/>
                <w:bCs/>
                <w:sz w:val="22"/>
                <w:szCs w:val="22"/>
              </w:rPr>
            </w:pPr>
            <w:sdt>
              <w:sdtPr>
                <w:rPr>
                  <w:rFonts w:ascii="Verdana" w:hAnsi="Verdana"/>
                  <w:sz w:val="22"/>
                  <w:szCs w:val="22"/>
                </w:rPr>
                <w:id w:val="-910697746"/>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bCs/>
                <w:sz w:val="22"/>
                <w:szCs w:val="22"/>
              </w:rPr>
              <w:t xml:space="preserve"> 4.1       Patient experience of outpatient services</w:t>
            </w:r>
          </w:p>
          <w:p w14:paraId="3571D267" w14:textId="5DB7205E" w:rsidR="004D346F" w:rsidRPr="00E7353A" w:rsidRDefault="001E69B3" w:rsidP="004D346F">
            <w:pPr>
              <w:pStyle w:val="ListParagraph"/>
              <w:spacing w:after="120"/>
              <w:ind w:left="773" w:hanging="426"/>
              <w:rPr>
                <w:rFonts w:ascii="Verdana" w:hAnsi="Verdana" w:cstheme="minorHAnsi"/>
                <w:bCs/>
                <w:sz w:val="22"/>
                <w:szCs w:val="22"/>
              </w:rPr>
            </w:pPr>
            <w:sdt>
              <w:sdtPr>
                <w:rPr>
                  <w:rFonts w:ascii="Verdana" w:hAnsi="Verdana"/>
                  <w:sz w:val="22"/>
                  <w:szCs w:val="22"/>
                </w:rPr>
                <w:id w:val="168843651"/>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bCs/>
                <w:sz w:val="22"/>
                <w:szCs w:val="22"/>
              </w:rPr>
              <w:t xml:space="preserve"> 4.9       Improving people’s experience of integrated care</w:t>
            </w:r>
          </w:p>
          <w:p w14:paraId="6AA1822C" w14:textId="5561A591" w:rsidR="004D346F" w:rsidRPr="00E7353A" w:rsidRDefault="001E69B3" w:rsidP="004D346F">
            <w:pPr>
              <w:spacing w:after="120"/>
              <w:ind w:left="1481" w:hanging="1481"/>
              <w:rPr>
                <w:rFonts w:ascii="Verdana" w:hAnsi="Verdana" w:cstheme="minorHAnsi"/>
                <w:bCs/>
                <w:sz w:val="22"/>
                <w:szCs w:val="22"/>
              </w:rPr>
            </w:pPr>
            <w:sdt>
              <w:sdtPr>
                <w:rPr>
                  <w:rFonts w:ascii="Verdana" w:hAnsi="Verdana"/>
                  <w:sz w:val="22"/>
                  <w:szCs w:val="22"/>
                </w:rPr>
                <w:id w:val="1404022108"/>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bCs/>
                <w:sz w:val="22"/>
                <w:szCs w:val="22"/>
              </w:rPr>
              <w:t>DOMAIN 5: Treating and caring for people in a safe environment and protecting them from avoidable harm</w:t>
            </w:r>
          </w:p>
          <w:p w14:paraId="49F0969F" w14:textId="1E198957" w:rsidR="004D346F" w:rsidRPr="00E7353A" w:rsidRDefault="001E69B3" w:rsidP="00960841">
            <w:pPr>
              <w:pStyle w:val="ListParagraph"/>
              <w:spacing w:after="120"/>
              <w:ind w:left="773" w:hanging="426"/>
              <w:rPr>
                <w:rFonts w:ascii="Verdana" w:hAnsi="Verdana" w:cstheme="minorHAnsi"/>
                <w:b/>
                <w:sz w:val="22"/>
                <w:szCs w:val="22"/>
              </w:rPr>
            </w:pPr>
            <w:sdt>
              <w:sdtPr>
                <w:rPr>
                  <w:rFonts w:ascii="Verdana" w:hAnsi="Verdana"/>
                  <w:sz w:val="22"/>
                  <w:szCs w:val="22"/>
                </w:rPr>
                <w:id w:val="-1630241890"/>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bCs/>
                <w:sz w:val="22"/>
                <w:szCs w:val="22"/>
              </w:rPr>
              <w:t xml:space="preserve"> 5.4       Hip fractures from falls during hospital care</w:t>
            </w:r>
          </w:p>
          <w:p w14:paraId="2DCF3DA9" w14:textId="77777777" w:rsidR="004D346F" w:rsidRPr="00E7353A" w:rsidRDefault="004D346F" w:rsidP="004D346F">
            <w:pPr>
              <w:spacing w:after="120"/>
              <w:jc w:val="both"/>
              <w:rPr>
                <w:rFonts w:ascii="Verdana" w:hAnsi="Verdana" w:cs="Arial"/>
                <w:b/>
                <w:color w:val="009966"/>
                <w:sz w:val="22"/>
                <w:szCs w:val="22"/>
                <w:lang w:val="en-GB"/>
              </w:rPr>
            </w:pPr>
            <w:r w:rsidRPr="00E7353A">
              <w:rPr>
                <w:rFonts w:ascii="Verdana" w:hAnsi="Verdana" w:cs="Arial"/>
                <w:b/>
                <w:color w:val="009966"/>
                <w:sz w:val="22"/>
                <w:szCs w:val="22"/>
                <w:lang w:val="en-GB"/>
              </w:rPr>
              <w:t xml:space="preserve">CCG Outcomes Indicator Set (2019) </w:t>
            </w:r>
          </w:p>
          <w:p w14:paraId="027D4574" w14:textId="0412712F" w:rsidR="004D346F" w:rsidRPr="00E7353A" w:rsidRDefault="001E69B3" w:rsidP="004D346F">
            <w:pPr>
              <w:spacing w:after="120"/>
              <w:rPr>
                <w:rFonts w:ascii="Verdana" w:hAnsi="Verdana" w:cstheme="minorHAnsi"/>
                <w:iCs/>
                <w:sz w:val="22"/>
                <w:szCs w:val="22"/>
              </w:rPr>
            </w:pPr>
            <w:sdt>
              <w:sdtPr>
                <w:rPr>
                  <w:rFonts w:ascii="Verdana" w:hAnsi="Verdana"/>
                  <w:sz w:val="22"/>
                  <w:szCs w:val="22"/>
                </w:rPr>
                <w:id w:val="-1141269236"/>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iCs/>
                <w:sz w:val="22"/>
                <w:szCs w:val="22"/>
              </w:rPr>
              <w:t xml:space="preserve"> DOMAIN 1: Preventing people from dying prematurely</w:t>
            </w:r>
          </w:p>
          <w:p w14:paraId="1ADE2A71" w14:textId="6F6CA646" w:rsidR="004D346F" w:rsidRPr="00E7353A" w:rsidRDefault="001E69B3" w:rsidP="004D346F">
            <w:pPr>
              <w:pStyle w:val="ListParagraph"/>
              <w:spacing w:after="120"/>
              <w:ind w:left="773" w:hanging="426"/>
              <w:rPr>
                <w:rFonts w:ascii="Verdana" w:hAnsi="Verdana" w:cstheme="minorHAnsi"/>
                <w:iCs/>
                <w:sz w:val="22"/>
                <w:szCs w:val="22"/>
              </w:rPr>
            </w:pPr>
            <w:sdt>
              <w:sdtPr>
                <w:rPr>
                  <w:rFonts w:ascii="Verdana" w:hAnsi="Verdana"/>
                  <w:sz w:val="22"/>
                  <w:szCs w:val="22"/>
                </w:rPr>
                <w:id w:val="832504221"/>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iCs/>
                <w:sz w:val="22"/>
                <w:szCs w:val="22"/>
              </w:rPr>
              <w:t xml:space="preserve"> 1.22     Hip fracture: incidence</w:t>
            </w:r>
          </w:p>
          <w:p w14:paraId="580EE67A" w14:textId="44321E0B" w:rsidR="004D346F" w:rsidRPr="00E7353A" w:rsidRDefault="001E69B3" w:rsidP="004D346F">
            <w:pPr>
              <w:spacing w:after="120"/>
              <w:rPr>
                <w:rFonts w:ascii="Verdana" w:hAnsi="Verdana" w:cstheme="minorHAnsi"/>
                <w:iCs/>
                <w:sz w:val="22"/>
                <w:szCs w:val="22"/>
              </w:rPr>
            </w:pPr>
            <w:sdt>
              <w:sdtPr>
                <w:rPr>
                  <w:rFonts w:ascii="Verdana" w:hAnsi="Verdana"/>
                  <w:sz w:val="22"/>
                  <w:szCs w:val="22"/>
                </w:rPr>
                <w:id w:val="-831052501"/>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iCs/>
                <w:sz w:val="22"/>
                <w:szCs w:val="22"/>
              </w:rPr>
              <w:t xml:space="preserve"> DOMAIN 2: Enhancing quality of life for people with long-term conditions</w:t>
            </w:r>
          </w:p>
          <w:p w14:paraId="4EACB45B" w14:textId="74800C81" w:rsidR="004D346F" w:rsidRPr="00E7353A" w:rsidRDefault="001E69B3" w:rsidP="004D346F">
            <w:pPr>
              <w:pStyle w:val="ListParagraph"/>
              <w:spacing w:after="120"/>
              <w:ind w:left="1623" w:hanging="1276"/>
              <w:rPr>
                <w:rFonts w:ascii="Verdana" w:hAnsi="Verdana"/>
                <w:iCs/>
                <w:sz w:val="22"/>
                <w:szCs w:val="22"/>
              </w:rPr>
            </w:pPr>
            <w:sdt>
              <w:sdtPr>
                <w:rPr>
                  <w:rFonts w:ascii="Verdana" w:hAnsi="Verdana"/>
                  <w:sz w:val="22"/>
                  <w:szCs w:val="22"/>
                </w:rPr>
                <w:id w:val="1764261221"/>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iCs/>
                <w:sz w:val="22"/>
                <w:szCs w:val="22"/>
              </w:rPr>
              <w:t xml:space="preserve"> 2.1       Health-related quality of life for people with long-term conditions</w:t>
            </w:r>
          </w:p>
          <w:p w14:paraId="528FDF53" w14:textId="72384A1C" w:rsidR="004D346F" w:rsidRPr="00E7353A" w:rsidRDefault="001E69B3" w:rsidP="004D346F">
            <w:pPr>
              <w:pStyle w:val="ListParagraph"/>
              <w:spacing w:after="120"/>
              <w:ind w:left="1623" w:hanging="1276"/>
              <w:rPr>
                <w:rFonts w:ascii="Verdana" w:hAnsi="Verdana"/>
                <w:iCs/>
                <w:sz w:val="22"/>
                <w:szCs w:val="22"/>
              </w:rPr>
            </w:pPr>
            <w:sdt>
              <w:sdtPr>
                <w:rPr>
                  <w:rFonts w:ascii="Verdana" w:hAnsi="Verdana"/>
                  <w:sz w:val="22"/>
                  <w:szCs w:val="22"/>
                </w:rPr>
                <w:id w:val="2098359688"/>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iCs/>
                <w:sz w:val="22"/>
                <w:szCs w:val="22"/>
              </w:rPr>
              <w:t xml:space="preserve"> 2.2       Proportion of people feeling supported to manage their condition</w:t>
            </w:r>
          </w:p>
          <w:p w14:paraId="74774BF1" w14:textId="54B68407" w:rsidR="004D346F" w:rsidRPr="00E7353A" w:rsidRDefault="001E69B3" w:rsidP="004D346F">
            <w:pPr>
              <w:pStyle w:val="ListParagraph"/>
              <w:spacing w:after="120"/>
              <w:ind w:left="1481" w:hanging="1134"/>
              <w:rPr>
                <w:rFonts w:ascii="Verdana" w:hAnsi="Verdana"/>
                <w:iCs/>
                <w:sz w:val="22"/>
                <w:szCs w:val="22"/>
              </w:rPr>
            </w:pPr>
            <w:sdt>
              <w:sdtPr>
                <w:rPr>
                  <w:rFonts w:ascii="Verdana" w:hAnsi="Verdana"/>
                  <w:sz w:val="22"/>
                  <w:szCs w:val="22"/>
                </w:rPr>
                <w:id w:val="2018103670"/>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iCs/>
                <w:sz w:val="22"/>
                <w:szCs w:val="22"/>
              </w:rPr>
              <w:t xml:space="preserve"> 2.6       Unplanned hospitalisation for chronic ambulatory care sensitive conditions</w:t>
            </w:r>
          </w:p>
          <w:p w14:paraId="1FA93FC2" w14:textId="78F3EDEF" w:rsidR="004D346F" w:rsidRPr="00E7353A" w:rsidRDefault="001E69B3" w:rsidP="004D346F">
            <w:pPr>
              <w:pStyle w:val="ListParagraph"/>
              <w:spacing w:after="120"/>
              <w:ind w:left="773" w:hanging="426"/>
              <w:rPr>
                <w:rFonts w:ascii="Verdana" w:hAnsi="Verdana"/>
                <w:iCs/>
                <w:sz w:val="22"/>
                <w:szCs w:val="22"/>
              </w:rPr>
            </w:pPr>
            <w:sdt>
              <w:sdtPr>
                <w:rPr>
                  <w:rFonts w:ascii="Verdana" w:hAnsi="Verdana"/>
                  <w:sz w:val="22"/>
                  <w:szCs w:val="22"/>
                </w:rPr>
                <w:id w:val="1804647180"/>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iCs/>
                <w:sz w:val="22"/>
                <w:szCs w:val="22"/>
              </w:rPr>
              <w:t xml:space="preserve"> 2.15     Health-related quality of life for carers</w:t>
            </w:r>
          </w:p>
          <w:p w14:paraId="3AFFBBD6" w14:textId="77777777" w:rsidR="004D346F" w:rsidRPr="00E7353A" w:rsidRDefault="001E69B3" w:rsidP="004D346F">
            <w:pPr>
              <w:spacing w:after="120"/>
              <w:ind w:left="1623" w:hanging="1623"/>
              <w:rPr>
                <w:rFonts w:ascii="Verdana" w:hAnsi="Verdana" w:cstheme="minorHAnsi"/>
                <w:iCs/>
                <w:sz w:val="22"/>
                <w:szCs w:val="22"/>
              </w:rPr>
            </w:pPr>
            <w:sdt>
              <w:sdtPr>
                <w:rPr>
                  <w:rFonts w:ascii="Verdana" w:hAnsi="Verdana"/>
                  <w:sz w:val="22"/>
                  <w:szCs w:val="22"/>
                </w:rPr>
                <w:id w:val="580805568"/>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iCs/>
                <w:sz w:val="22"/>
                <w:szCs w:val="22"/>
              </w:rPr>
              <w:t xml:space="preserve"> DOMAIN 3: Helping people to recover from episodes of ill health or following injury</w:t>
            </w:r>
          </w:p>
          <w:p w14:paraId="7FD5C9B8" w14:textId="2923B44F" w:rsidR="004D346F" w:rsidRPr="00E7353A" w:rsidRDefault="001E69B3" w:rsidP="004D346F">
            <w:pPr>
              <w:pStyle w:val="ListParagraph"/>
              <w:spacing w:after="120"/>
              <w:ind w:left="1481" w:hanging="1134"/>
              <w:rPr>
                <w:rFonts w:ascii="Verdana" w:hAnsi="Verdana" w:cstheme="minorHAnsi"/>
                <w:iCs/>
                <w:sz w:val="22"/>
                <w:szCs w:val="22"/>
              </w:rPr>
            </w:pPr>
            <w:sdt>
              <w:sdtPr>
                <w:rPr>
                  <w:rFonts w:ascii="Verdana" w:hAnsi="Verdana"/>
                  <w:sz w:val="22"/>
                  <w:szCs w:val="22"/>
                </w:rPr>
                <w:id w:val="-187295388"/>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iCs/>
                <w:sz w:val="22"/>
                <w:szCs w:val="22"/>
              </w:rPr>
              <w:t xml:space="preserve"> 3.10i    Hip fracture: Proportion of patients recovering to their previous levels of mobility at 30 days</w:t>
            </w:r>
          </w:p>
          <w:p w14:paraId="47A894E6" w14:textId="59C903E7" w:rsidR="004D346F" w:rsidRPr="00E7353A" w:rsidRDefault="001E69B3" w:rsidP="004D346F">
            <w:pPr>
              <w:pStyle w:val="ListParagraph"/>
              <w:spacing w:after="120"/>
              <w:ind w:left="1481" w:hanging="1134"/>
              <w:rPr>
                <w:rFonts w:ascii="Verdana" w:hAnsi="Verdana" w:cstheme="minorHAnsi"/>
                <w:iCs/>
                <w:sz w:val="22"/>
                <w:szCs w:val="22"/>
              </w:rPr>
            </w:pPr>
            <w:sdt>
              <w:sdtPr>
                <w:rPr>
                  <w:rFonts w:ascii="Verdana" w:hAnsi="Verdana"/>
                  <w:sz w:val="22"/>
                  <w:szCs w:val="22"/>
                </w:rPr>
                <w:id w:val="2045090679"/>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iCs/>
                <w:sz w:val="22"/>
                <w:szCs w:val="22"/>
              </w:rPr>
              <w:t xml:space="preserve"> 3.10ii   Hip fracture: Proportion of patients recovering to their previous level of mobility at 120 days</w:t>
            </w:r>
          </w:p>
          <w:p w14:paraId="29651B8A" w14:textId="0FA7A085" w:rsidR="004D346F" w:rsidRPr="00E7353A" w:rsidRDefault="001E69B3" w:rsidP="004D346F">
            <w:pPr>
              <w:pStyle w:val="ListParagraph"/>
              <w:spacing w:after="120"/>
              <w:ind w:left="1198" w:hanging="851"/>
              <w:rPr>
                <w:rFonts w:ascii="Verdana" w:hAnsi="Verdana" w:cstheme="minorHAnsi"/>
                <w:iCs/>
                <w:sz w:val="22"/>
                <w:szCs w:val="22"/>
              </w:rPr>
            </w:pPr>
            <w:sdt>
              <w:sdtPr>
                <w:rPr>
                  <w:rFonts w:ascii="Verdana" w:hAnsi="Verdana"/>
                  <w:sz w:val="22"/>
                  <w:szCs w:val="22"/>
                </w:rPr>
                <w:id w:val="-365834553"/>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iCs/>
                <w:sz w:val="22"/>
                <w:szCs w:val="22"/>
              </w:rPr>
              <w:t xml:space="preserve"> 3.11     Hip fracture: Collaborative orthogeriatric care</w:t>
            </w:r>
          </w:p>
          <w:p w14:paraId="26DE4AC3" w14:textId="2CC5BB80" w:rsidR="004D346F" w:rsidRPr="00E7353A" w:rsidRDefault="001E69B3" w:rsidP="004D346F">
            <w:pPr>
              <w:pStyle w:val="ListParagraph"/>
              <w:spacing w:after="120"/>
              <w:ind w:left="1198" w:hanging="851"/>
              <w:rPr>
                <w:rFonts w:ascii="Verdana" w:hAnsi="Verdana" w:cstheme="minorHAnsi"/>
                <w:iCs/>
                <w:sz w:val="22"/>
                <w:szCs w:val="22"/>
              </w:rPr>
            </w:pPr>
            <w:sdt>
              <w:sdtPr>
                <w:rPr>
                  <w:rFonts w:ascii="Verdana" w:hAnsi="Verdana"/>
                  <w:sz w:val="22"/>
                  <w:szCs w:val="22"/>
                </w:rPr>
                <w:id w:val="-1881928833"/>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iCs/>
                <w:sz w:val="22"/>
                <w:szCs w:val="22"/>
              </w:rPr>
              <w:t xml:space="preserve"> 3.13     Hip fracture: multifactorial risk assessment</w:t>
            </w:r>
          </w:p>
          <w:p w14:paraId="38E6D536" w14:textId="77777777" w:rsidR="004D346F" w:rsidRPr="00E7353A" w:rsidRDefault="001E69B3" w:rsidP="004D346F">
            <w:pPr>
              <w:spacing w:after="120"/>
              <w:rPr>
                <w:rFonts w:ascii="Verdana" w:hAnsi="Verdana" w:cstheme="minorHAnsi"/>
                <w:bCs/>
                <w:sz w:val="22"/>
                <w:szCs w:val="22"/>
              </w:rPr>
            </w:pPr>
            <w:sdt>
              <w:sdtPr>
                <w:rPr>
                  <w:rFonts w:ascii="Verdana" w:hAnsi="Verdana"/>
                  <w:sz w:val="22"/>
                  <w:szCs w:val="22"/>
                </w:rPr>
                <w:id w:val="-1870287183"/>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bCs/>
                <w:sz w:val="22"/>
                <w:szCs w:val="22"/>
              </w:rPr>
              <w:t xml:space="preserve"> DOMAIN 4: Ensuring that people have a positive experience of care</w:t>
            </w:r>
          </w:p>
          <w:p w14:paraId="0A8E3F34" w14:textId="38B6E548" w:rsidR="004D346F" w:rsidRPr="00E7353A" w:rsidRDefault="001E69B3" w:rsidP="004D346F">
            <w:pPr>
              <w:pStyle w:val="ListParagraph"/>
              <w:spacing w:after="120"/>
              <w:ind w:left="773" w:hanging="426"/>
              <w:rPr>
                <w:rFonts w:ascii="Verdana" w:hAnsi="Verdana" w:cstheme="minorHAnsi"/>
                <w:bCs/>
                <w:sz w:val="22"/>
                <w:szCs w:val="22"/>
              </w:rPr>
            </w:pPr>
            <w:sdt>
              <w:sdtPr>
                <w:rPr>
                  <w:rFonts w:ascii="Verdana" w:hAnsi="Verdana"/>
                  <w:sz w:val="22"/>
                  <w:szCs w:val="22"/>
                </w:rPr>
                <w:id w:val="1884203805"/>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bCs/>
                <w:sz w:val="22"/>
                <w:szCs w:val="22"/>
              </w:rPr>
              <w:t xml:space="preserve"> 4.2       Patient experience of hospital care</w:t>
            </w:r>
          </w:p>
          <w:p w14:paraId="4C0E5DD6" w14:textId="5B86D572" w:rsidR="004D346F" w:rsidRPr="00E7353A" w:rsidRDefault="001E69B3" w:rsidP="00960841">
            <w:pPr>
              <w:pStyle w:val="ListParagraph"/>
              <w:spacing w:after="120"/>
              <w:ind w:left="773" w:hanging="426"/>
              <w:rPr>
                <w:rFonts w:ascii="Verdana" w:hAnsi="Verdana" w:cstheme="minorHAnsi"/>
                <w:bCs/>
                <w:sz w:val="22"/>
                <w:szCs w:val="22"/>
              </w:rPr>
            </w:pPr>
            <w:sdt>
              <w:sdtPr>
                <w:rPr>
                  <w:rFonts w:ascii="Verdana" w:hAnsi="Verdana"/>
                  <w:sz w:val="22"/>
                  <w:szCs w:val="22"/>
                </w:rPr>
                <w:id w:val="1712537217"/>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bCs/>
                <w:sz w:val="22"/>
                <w:szCs w:val="22"/>
              </w:rPr>
              <w:t xml:space="preserve"> 4.4       Patient experience of outpatient services</w:t>
            </w:r>
          </w:p>
          <w:p w14:paraId="5E32BBC6" w14:textId="77777777" w:rsidR="004D346F" w:rsidRPr="00E7353A" w:rsidRDefault="004D346F" w:rsidP="004D346F">
            <w:pPr>
              <w:spacing w:after="120"/>
              <w:jc w:val="both"/>
              <w:rPr>
                <w:rFonts w:ascii="Verdana" w:hAnsi="Verdana" w:cs="Arial"/>
                <w:b/>
                <w:color w:val="009966"/>
                <w:sz w:val="22"/>
                <w:szCs w:val="22"/>
                <w:lang w:val="en-GB"/>
              </w:rPr>
            </w:pPr>
            <w:r w:rsidRPr="00E7353A">
              <w:rPr>
                <w:rFonts w:ascii="Verdana" w:hAnsi="Verdana" w:cs="Arial"/>
                <w:b/>
                <w:color w:val="009966"/>
                <w:sz w:val="22"/>
                <w:szCs w:val="22"/>
                <w:lang w:val="en-GB"/>
              </w:rPr>
              <w:t>Public Health Outcomes Framework (2019/20)</w:t>
            </w:r>
          </w:p>
          <w:p w14:paraId="5B5A7D62" w14:textId="77777777" w:rsidR="004D346F" w:rsidRPr="00E7353A" w:rsidRDefault="001E69B3" w:rsidP="004D346F">
            <w:pPr>
              <w:spacing w:after="120"/>
              <w:jc w:val="both"/>
              <w:rPr>
                <w:rFonts w:ascii="Verdana" w:hAnsi="Verdana" w:cstheme="minorHAnsi"/>
                <w:iCs/>
                <w:sz w:val="22"/>
                <w:szCs w:val="22"/>
              </w:rPr>
            </w:pPr>
            <w:sdt>
              <w:sdtPr>
                <w:rPr>
                  <w:rFonts w:ascii="Verdana" w:hAnsi="Verdana"/>
                  <w:sz w:val="22"/>
                  <w:szCs w:val="22"/>
                </w:rPr>
                <w:id w:val="1739901648"/>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iCs/>
                <w:sz w:val="22"/>
                <w:szCs w:val="22"/>
              </w:rPr>
              <w:t xml:space="preserve"> DOMAIN C: Health Improvement </w:t>
            </w:r>
          </w:p>
          <w:p w14:paraId="39890C5E" w14:textId="77777777" w:rsidR="004D346F" w:rsidRPr="00E7353A" w:rsidRDefault="001E69B3" w:rsidP="004D346F">
            <w:pPr>
              <w:spacing w:after="120"/>
              <w:ind w:left="1623" w:hanging="1276"/>
              <w:rPr>
                <w:rFonts w:ascii="Verdana" w:hAnsi="Verdana" w:cstheme="minorHAnsi"/>
                <w:iCs/>
                <w:sz w:val="22"/>
                <w:szCs w:val="22"/>
              </w:rPr>
            </w:pPr>
            <w:sdt>
              <w:sdtPr>
                <w:rPr>
                  <w:rFonts w:ascii="Verdana" w:hAnsi="Verdana"/>
                  <w:sz w:val="22"/>
                  <w:szCs w:val="22"/>
                </w:rPr>
                <w:id w:val="-965660158"/>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iCs/>
                <w:sz w:val="22"/>
                <w:szCs w:val="22"/>
              </w:rPr>
              <w:t xml:space="preserve"> C29       Emergency hospital admissions due to falls in people aged 65 and over</w:t>
            </w:r>
          </w:p>
          <w:p w14:paraId="59AC3DFA" w14:textId="77777777" w:rsidR="004D346F" w:rsidRPr="00E7353A" w:rsidRDefault="001E69B3" w:rsidP="004D346F">
            <w:pPr>
              <w:spacing w:after="120"/>
              <w:jc w:val="both"/>
              <w:rPr>
                <w:rFonts w:ascii="Verdana" w:hAnsi="Verdana" w:cstheme="minorHAnsi"/>
                <w:iCs/>
                <w:sz w:val="22"/>
                <w:szCs w:val="22"/>
              </w:rPr>
            </w:pPr>
            <w:sdt>
              <w:sdtPr>
                <w:rPr>
                  <w:rFonts w:ascii="Verdana" w:hAnsi="Verdana"/>
                  <w:sz w:val="22"/>
                  <w:szCs w:val="22"/>
                </w:rPr>
                <w:id w:val="1884902404"/>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iCs/>
                <w:sz w:val="22"/>
                <w:szCs w:val="22"/>
              </w:rPr>
              <w:t xml:space="preserve"> DOMAIN E: Health and premature mortality </w:t>
            </w:r>
          </w:p>
          <w:p w14:paraId="0789A5F8" w14:textId="71AD4048" w:rsidR="004D346F" w:rsidRPr="00E7353A" w:rsidRDefault="001E69B3" w:rsidP="00960841">
            <w:pPr>
              <w:spacing w:after="120"/>
              <w:ind w:firstLine="347"/>
              <w:rPr>
                <w:rFonts w:ascii="Verdana" w:hAnsi="Verdana"/>
                <w:sz w:val="22"/>
                <w:szCs w:val="22"/>
              </w:rPr>
            </w:pPr>
            <w:sdt>
              <w:sdtPr>
                <w:rPr>
                  <w:rFonts w:ascii="Verdana" w:hAnsi="Verdana"/>
                  <w:sz w:val="22"/>
                  <w:szCs w:val="22"/>
                </w:rPr>
                <w:id w:val="1239523136"/>
                <w14:checkbox>
                  <w14:checked w14:val="1"/>
                  <w14:checkedState w14:val="2612" w14:font="MS Gothic"/>
                  <w14:uncheckedState w14:val="2610" w14:font="MS Gothic"/>
                </w14:checkbox>
              </w:sdtPr>
              <w:sdtEndPr/>
              <w:sdtContent>
                <w:r w:rsidR="004D346F" w:rsidRPr="00E7353A">
                  <w:rPr>
                    <w:rFonts w:ascii="Segoe UI Symbol" w:eastAsia="MS Gothic" w:hAnsi="Segoe UI Symbol" w:cs="Segoe UI Symbol"/>
                    <w:sz w:val="22"/>
                    <w:szCs w:val="22"/>
                  </w:rPr>
                  <w:t>☒</w:t>
                </w:r>
              </w:sdtContent>
            </w:sdt>
            <w:r w:rsidR="004D346F" w:rsidRPr="00E7353A">
              <w:rPr>
                <w:rFonts w:ascii="Verdana" w:hAnsi="Verdana" w:cstheme="minorHAnsi"/>
                <w:iCs/>
                <w:sz w:val="22"/>
                <w:szCs w:val="22"/>
              </w:rPr>
              <w:t xml:space="preserve"> E13       Hip fractures in people aged 65 and over</w:t>
            </w:r>
          </w:p>
          <w:p w14:paraId="46B0C9A0" w14:textId="3A02E6C3" w:rsidR="004D346F" w:rsidRPr="00E7353A" w:rsidRDefault="00960841" w:rsidP="004D346F">
            <w:pPr>
              <w:spacing w:after="120"/>
              <w:jc w:val="both"/>
              <w:rPr>
                <w:rFonts w:ascii="Verdana" w:hAnsi="Verdana" w:cstheme="minorHAnsi"/>
                <w:b/>
                <w:sz w:val="22"/>
                <w:szCs w:val="22"/>
                <w:lang w:val="en-GB"/>
              </w:rPr>
            </w:pPr>
            <w:r w:rsidRPr="00E7353A">
              <w:rPr>
                <w:rFonts w:ascii="Verdana" w:hAnsi="Verdana" w:cs="Arial"/>
                <w:b/>
                <w:color w:val="009966"/>
                <w:sz w:val="22"/>
                <w:szCs w:val="22"/>
              </w:rPr>
              <w:t>T</w:t>
            </w:r>
            <w:r w:rsidR="004D346F" w:rsidRPr="00E7353A">
              <w:rPr>
                <w:rFonts w:ascii="Verdana" w:hAnsi="Verdana" w:cs="Arial"/>
                <w:b/>
                <w:color w:val="009966"/>
                <w:sz w:val="22"/>
                <w:szCs w:val="22"/>
                <w:lang w:val="en-GB"/>
              </w:rPr>
              <w:t>he Government’s</w:t>
            </w:r>
            <w:r w:rsidR="004D346F" w:rsidRPr="00E7353A">
              <w:rPr>
                <w:rFonts w:ascii="Verdana" w:hAnsi="Verdana"/>
                <w:b/>
                <w:bCs/>
                <w:sz w:val="22"/>
                <w:szCs w:val="22"/>
              </w:rPr>
              <w:t xml:space="preserve"> </w:t>
            </w:r>
            <w:r w:rsidR="004D346F" w:rsidRPr="00E7353A">
              <w:rPr>
                <w:rFonts w:ascii="Verdana" w:hAnsi="Verdana" w:cs="Arial"/>
                <w:b/>
                <w:color w:val="009966"/>
                <w:sz w:val="22"/>
                <w:szCs w:val="22"/>
                <w:lang w:val="en-GB"/>
              </w:rPr>
              <w:t>2019-20 Accountability Framework</w:t>
            </w:r>
            <w:r w:rsidR="004D346F" w:rsidRPr="00E7353A">
              <w:rPr>
                <w:rFonts w:ascii="Verdana" w:hAnsi="Verdana"/>
                <w:sz w:val="22"/>
                <w:szCs w:val="22"/>
              </w:rPr>
              <w:t xml:space="preserve"> brought together, for the first time, the annual mandate to NHS England and the remit for NHS Improvement.  Within this document the Government set two high level objectives for NHS England and NHS Improvement for 2019-20.  These are: </w:t>
            </w:r>
          </w:p>
          <w:p w14:paraId="0733D140" w14:textId="77777777" w:rsidR="004D346F" w:rsidRPr="00E7353A" w:rsidRDefault="004D346F" w:rsidP="004D346F">
            <w:pPr>
              <w:spacing w:after="120"/>
              <w:jc w:val="both"/>
              <w:rPr>
                <w:rFonts w:ascii="Verdana" w:hAnsi="Verdana"/>
                <w:sz w:val="22"/>
                <w:szCs w:val="22"/>
              </w:rPr>
            </w:pPr>
            <w:r w:rsidRPr="00E7353A">
              <w:rPr>
                <w:rFonts w:ascii="Verdana" w:hAnsi="Verdana"/>
                <w:sz w:val="22"/>
                <w:szCs w:val="22"/>
              </w:rPr>
              <w:t>Objective 1: Ensure the effective delivery of the Long Term Plan</w:t>
            </w:r>
          </w:p>
          <w:p w14:paraId="19ACA712" w14:textId="1EAE1684" w:rsidR="004D346F" w:rsidRPr="00E7353A" w:rsidRDefault="004D346F" w:rsidP="00BC082B">
            <w:pPr>
              <w:spacing w:after="120"/>
              <w:jc w:val="both"/>
              <w:rPr>
                <w:rFonts w:ascii="Verdana" w:hAnsi="Verdana"/>
                <w:sz w:val="22"/>
                <w:szCs w:val="22"/>
              </w:rPr>
            </w:pPr>
            <w:r w:rsidRPr="00E7353A">
              <w:rPr>
                <w:rFonts w:ascii="Verdana" w:hAnsi="Verdana"/>
                <w:sz w:val="22"/>
                <w:szCs w:val="22"/>
              </w:rPr>
              <w:t>Objective 2: Support Government in managing the effects of EU Exit on health and care</w:t>
            </w:r>
          </w:p>
          <w:p w14:paraId="0F922B8B" w14:textId="77777777" w:rsidR="004D346F" w:rsidRPr="00E7353A" w:rsidRDefault="004D346F" w:rsidP="004D346F">
            <w:pPr>
              <w:spacing w:after="120"/>
              <w:jc w:val="both"/>
              <w:rPr>
                <w:rFonts w:ascii="Verdana" w:hAnsi="Verdana"/>
                <w:sz w:val="22"/>
                <w:szCs w:val="22"/>
              </w:rPr>
            </w:pPr>
            <w:r w:rsidRPr="00E7353A">
              <w:rPr>
                <w:rFonts w:ascii="Verdana" w:hAnsi="Verdana"/>
                <w:sz w:val="22"/>
                <w:szCs w:val="22"/>
              </w:rPr>
              <w:t xml:space="preserve">The relevant </w:t>
            </w:r>
            <w:r w:rsidRPr="00E7353A">
              <w:rPr>
                <w:rFonts w:ascii="Verdana" w:hAnsi="Verdana" w:cs="Arial"/>
                <w:b/>
                <w:color w:val="009966"/>
                <w:sz w:val="22"/>
                <w:szCs w:val="22"/>
                <w:lang w:val="en-GB"/>
              </w:rPr>
              <w:t xml:space="preserve">NHS Long Term Plan and NHS Planning Guidance commitments for 2019-20 </w:t>
            </w:r>
            <w:r w:rsidRPr="00E7353A">
              <w:rPr>
                <w:rFonts w:ascii="Verdana" w:hAnsi="Verdana"/>
                <w:sz w:val="22"/>
                <w:szCs w:val="22"/>
              </w:rPr>
              <w:t>are as follows:</w:t>
            </w:r>
          </w:p>
          <w:p w14:paraId="759D2A57" w14:textId="77777777" w:rsidR="004D346F" w:rsidRPr="00E7353A" w:rsidRDefault="001E69B3" w:rsidP="004D346F">
            <w:pPr>
              <w:spacing w:after="120"/>
              <w:jc w:val="both"/>
              <w:rPr>
                <w:rFonts w:ascii="Verdana" w:hAnsi="Verdana"/>
                <w:sz w:val="22"/>
                <w:szCs w:val="22"/>
              </w:rPr>
            </w:pPr>
            <w:sdt>
              <w:sdtPr>
                <w:rPr>
                  <w:rFonts w:ascii="Verdana" w:hAnsi="Verdana"/>
                  <w:sz w:val="22"/>
                  <w:szCs w:val="22"/>
                </w:rPr>
                <w:id w:val="850150947"/>
                <w14:checkbox>
                  <w14:checked w14:val="1"/>
                  <w14:checkedState w14:val="2612" w14:font="MS Gothic"/>
                  <w14:uncheckedState w14:val="2610" w14:font="MS Gothic"/>
                </w14:checkbox>
              </w:sdtPr>
              <w:sdtEndPr/>
              <w:sdtContent>
                <w:r w:rsidR="004D346F" w:rsidRPr="00E7353A">
                  <w:rPr>
                    <w:rFonts w:ascii="MS Gothic" w:eastAsia="MS Gothic" w:hAnsi="MS Gothic" w:hint="eastAsia"/>
                    <w:sz w:val="22"/>
                    <w:szCs w:val="22"/>
                  </w:rPr>
                  <w:t>☒</w:t>
                </w:r>
              </w:sdtContent>
            </w:sdt>
            <w:r w:rsidR="004D346F" w:rsidRPr="00E7353A">
              <w:rPr>
                <w:rFonts w:ascii="Verdana" w:hAnsi="Verdana"/>
                <w:sz w:val="22"/>
                <w:szCs w:val="22"/>
              </w:rPr>
              <w:t xml:space="preserve"> New Service Models</w:t>
            </w:r>
          </w:p>
          <w:p w14:paraId="296E4A50" w14:textId="77777777" w:rsidR="004D346F" w:rsidRPr="00E7353A" w:rsidRDefault="001E69B3" w:rsidP="004D346F">
            <w:pPr>
              <w:pStyle w:val="ListParagraph"/>
              <w:spacing w:after="120"/>
              <w:ind w:left="347"/>
              <w:jc w:val="both"/>
              <w:rPr>
                <w:rFonts w:ascii="Verdana" w:hAnsi="Verdana"/>
                <w:sz w:val="22"/>
                <w:szCs w:val="22"/>
              </w:rPr>
            </w:pPr>
            <w:sdt>
              <w:sdtPr>
                <w:rPr>
                  <w:rFonts w:ascii="Verdana" w:hAnsi="Verdana"/>
                  <w:sz w:val="22"/>
                  <w:szCs w:val="22"/>
                </w:rPr>
                <w:id w:val="792250824"/>
                <w14:checkbox>
                  <w14:checked w14:val="0"/>
                  <w14:checkedState w14:val="2612" w14:font="MS Gothic"/>
                  <w14:uncheckedState w14:val="2610" w14:font="MS Gothic"/>
                </w14:checkbox>
              </w:sdtPr>
              <w:sdtEndPr/>
              <w:sdtContent>
                <w:r w:rsidR="004D346F" w:rsidRPr="00E7353A">
                  <w:rPr>
                    <w:rFonts w:ascii="MS Gothic" w:eastAsia="MS Gothic" w:hAnsi="MS Gothic" w:hint="eastAsia"/>
                    <w:sz w:val="22"/>
                    <w:szCs w:val="22"/>
                  </w:rPr>
                  <w:t>☐</w:t>
                </w:r>
              </w:sdtContent>
            </w:sdt>
            <w:r w:rsidR="004D346F" w:rsidRPr="00E7353A">
              <w:rPr>
                <w:rFonts w:ascii="Verdana" w:hAnsi="Verdana"/>
                <w:sz w:val="22"/>
                <w:szCs w:val="22"/>
              </w:rPr>
              <w:t xml:space="preserve"> Out of hospital care</w:t>
            </w:r>
          </w:p>
          <w:p w14:paraId="07259889" w14:textId="77777777" w:rsidR="004D346F" w:rsidRPr="00E7353A" w:rsidRDefault="001E69B3" w:rsidP="004D346F">
            <w:pPr>
              <w:pStyle w:val="ListParagraph"/>
              <w:spacing w:after="120"/>
              <w:ind w:left="347"/>
              <w:jc w:val="both"/>
              <w:rPr>
                <w:rFonts w:ascii="Verdana" w:hAnsi="Verdana"/>
                <w:sz w:val="22"/>
                <w:szCs w:val="22"/>
              </w:rPr>
            </w:pPr>
            <w:sdt>
              <w:sdtPr>
                <w:rPr>
                  <w:rFonts w:ascii="Verdana" w:hAnsi="Verdana"/>
                  <w:sz w:val="22"/>
                  <w:szCs w:val="22"/>
                </w:rPr>
                <w:id w:val="-1513913240"/>
                <w14:checkbox>
                  <w14:checked w14:val="1"/>
                  <w14:checkedState w14:val="2612" w14:font="MS Gothic"/>
                  <w14:uncheckedState w14:val="2610" w14:font="MS Gothic"/>
                </w14:checkbox>
              </w:sdtPr>
              <w:sdtEndPr/>
              <w:sdtContent>
                <w:r w:rsidR="004D346F" w:rsidRPr="00E7353A">
                  <w:rPr>
                    <w:rFonts w:ascii="MS Gothic" w:eastAsia="MS Gothic" w:hAnsi="MS Gothic" w:hint="eastAsia"/>
                    <w:sz w:val="22"/>
                    <w:szCs w:val="22"/>
                  </w:rPr>
                  <w:t>☒</w:t>
                </w:r>
              </w:sdtContent>
            </w:sdt>
            <w:r w:rsidR="004D346F" w:rsidRPr="00E7353A">
              <w:rPr>
                <w:rFonts w:ascii="Verdana" w:hAnsi="Verdana"/>
                <w:sz w:val="22"/>
                <w:szCs w:val="22"/>
              </w:rPr>
              <w:t xml:space="preserve"> Reducing pressure on emergency services</w:t>
            </w:r>
          </w:p>
          <w:p w14:paraId="48597F75" w14:textId="77777777" w:rsidR="004D346F" w:rsidRPr="00E7353A" w:rsidRDefault="001E69B3" w:rsidP="004D346F">
            <w:pPr>
              <w:pStyle w:val="ListParagraph"/>
              <w:spacing w:after="120"/>
              <w:ind w:left="347"/>
              <w:jc w:val="both"/>
              <w:rPr>
                <w:rFonts w:ascii="Verdana" w:hAnsi="Verdana"/>
                <w:sz w:val="22"/>
                <w:szCs w:val="22"/>
              </w:rPr>
            </w:pPr>
            <w:sdt>
              <w:sdtPr>
                <w:rPr>
                  <w:rFonts w:ascii="Verdana" w:hAnsi="Verdana"/>
                  <w:sz w:val="22"/>
                  <w:szCs w:val="22"/>
                </w:rPr>
                <w:id w:val="-128331710"/>
                <w14:checkbox>
                  <w14:checked w14:val="1"/>
                  <w14:checkedState w14:val="2612" w14:font="MS Gothic"/>
                  <w14:uncheckedState w14:val="2610" w14:font="MS Gothic"/>
                </w14:checkbox>
              </w:sdtPr>
              <w:sdtEndPr/>
              <w:sdtContent>
                <w:r w:rsidR="004D346F" w:rsidRPr="00E7353A">
                  <w:rPr>
                    <w:rFonts w:ascii="MS Gothic" w:eastAsia="MS Gothic" w:hAnsi="MS Gothic" w:hint="eastAsia"/>
                    <w:sz w:val="22"/>
                    <w:szCs w:val="22"/>
                  </w:rPr>
                  <w:t>☒</w:t>
                </w:r>
              </w:sdtContent>
            </w:sdt>
            <w:r w:rsidR="004D346F" w:rsidRPr="00E7353A">
              <w:rPr>
                <w:rFonts w:ascii="Verdana" w:hAnsi="Verdana"/>
                <w:sz w:val="22"/>
                <w:szCs w:val="22"/>
              </w:rPr>
              <w:t xml:space="preserve"> Personalised care</w:t>
            </w:r>
          </w:p>
          <w:p w14:paraId="2C7B947B" w14:textId="77777777" w:rsidR="004D346F" w:rsidRPr="00E7353A" w:rsidRDefault="001E69B3" w:rsidP="004D346F">
            <w:pPr>
              <w:pStyle w:val="ListParagraph"/>
              <w:spacing w:after="120"/>
              <w:ind w:left="347"/>
              <w:jc w:val="both"/>
              <w:rPr>
                <w:rFonts w:ascii="Verdana" w:hAnsi="Verdana"/>
                <w:sz w:val="22"/>
                <w:szCs w:val="22"/>
              </w:rPr>
            </w:pPr>
            <w:sdt>
              <w:sdtPr>
                <w:rPr>
                  <w:rFonts w:ascii="Verdana" w:hAnsi="Verdana"/>
                  <w:sz w:val="22"/>
                  <w:szCs w:val="22"/>
                </w:rPr>
                <w:id w:val="1514721375"/>
                <w14:checkbox>
                  <w14:checked w14:val="0"/>
                  <w14:checkedState w14:val="2612" w14:font="MS Gothic"/>
                  <w14:uncheckedState w14:val="2610" w14:font="MS Gothic"/>
                </w14:checkbox>
              </w:sdtPr>
              <w:sdtEndPr/>
              <w:sdtContent>
                <w:r w:rsidR="004D346F" w:rsidRPr="00E7353A">
                  <w:rPr>
                    <w:rFonts w:ascii="MS Gothic" w:eastAsia="MS Gothic" w:hAnsi="MS Gothic" w:hint="eastAsia"/>
                    <w:sz w:val="22"/>
                    <w:szCs w:val="22"/>
                  </w:rPr>
                  <w:t>☐</w:t>
                </w:r>
              </w:sdtContent>
            </w:sdt>
            <w:r w:rsidR="004D346F" w:rsidRPr="00E7353A">
              <w:rPr>
                <w:rFonts w:ascii="Verdana" w:hAnsi="Verdana"/>
                <w:sz w:val="22"/>
                <w:szCs w:val="22"/>
              </w:rPr>
              <w:t xml:space="preserve"> Digitally enabled primary and out-patient care</w:t>
            </w:r>
          </w:p>
          <w:p w14:paraId="1BFBF885" w14:textId="77777777" w:rsidR="004D346F" w:rsidRPr="00E7353A" w:rsidRDefault="001E69B3" w:rsidP="004D346F">
            <w:pPr>
              <w:pStyle w:val="ListParagraph"/>
              <w:spacing w:after="120"/>
              <w:ind w:left="347"/>
              <w:jc w:val="both"/>
              <w:rPr>
                <w:rFonts w:ascii="Verdana" w:hAnsi="Verdana"/>
                <w:sz w:val="22"/>
                <w:szCs w:val="22"/>
              </w:rPr>
            </w:pPr>
            <w:sdt>
              <w:sdtPr>
                <w:rPr>
                  <w:rFonts w:ascii="Verdana" w:hAnsi="Verdana"/>
                  <w:sz w:val="22"/>
                  <w:szCs w:val="22"/>
                </w:rPr>
                <w:id w:val="-686207118"/>
                <w14:checkbox>
                  <w14:checked w14:val="1"/>
                  <w14:checkedState w14:val="2612" w14:font="MS Gothic"/>
                  <w14:uncheckedState w14:val="2610" w14:font="MS Gothic"/>
                </w14:checkbox>
              </w:sdtPr>
              <w:sdtEndPr/>
              <w:sdtContent>
                <w:r w:rsidR="004D346F" w:rsidRPr="00E7353A">
                  <w:rPr>
                    <w:rFonts w:ascii="MS Gothic" w:eastAsia="MS Gothic" w:hAnsi="MS Gothic" w:hint="eastAsia"/>
                    <w:sz w:val="22"/>
                    <w:szCs w:val="22"/>
                  </w:rPr>
                  <w:t>☒</w:t>
                </w:r>
              </w:sdtContent>
            </w:sdt>
            <w:r w:rsidR="004D346F" w:rsidRPr="00E7353A">
              <w:rPr>
                <w:rFonts w:ascii="Verdana" w:hAnsi="Verdana"/>
                <w:sz w:val="22"/>
                <w:szCs w:val="22"/>
              </w:rPr>
              <w:t xml:space="preserve"> Population health/integrated care systems</w:t>
            </w:r>
          </w:p>
          <w:p w14:paraId="2C79C4E2" w14:textId="77777777" w:rsidR="004D346F" w:rsidRPr="00E7353A" w:rsidRDefault="001E69B3" w:rsidP="004D346F">
            <w:pPr>
              <w:spacing w:after="120"/>
              <w:jc w:val="both"/>
              <w:rPr>
                <w:rFonts w:ascii="Verdana" w:hAnsi="Verdana"/>
                <w:sz w:val="22"/>
                <w:szCs w:val="22"/>
              </w:rPr>
            </w:pPr>
            <w:sdt>
              <w:sdtPr>
                <w:rPr>
                  <w:rFonts w:ascii="Verdana" w:hAnsi="Verdana"/>
                  <w:sz w:val="22"/>
                  <w:szCs w:val="22"/>
                </w:rPr>
                <w:id w:val="591669387"/>
                <w14:checkbox>
                  <w14:checked w14:val="1"/>
                  <w14:checkedState w14:val="2612" w14:font="MS Gothic"/>
                  <w14:uncheckedState w14:val="2610" w14:font="MS Gothic"/>
                </w14:checkbox>
              </w:sdtPr>
              <w:sdtEndPr/>
              <w:sdtContent>
                <w:r w:rsidR="004D346F" w:rsidRPr="00E7353A">
                  <w:rPr>
                    <w:rFonts w:ascii="MS Gothic" w:eastAsia="MS Gothic" w:hAnsi="MS Gothic" w:hint="eastAsia"/>
                    <w:sz w:val="22"/>
                    <w:szCs w:val="22"/>
                  </w:rPr>
                  <w:t>☒</w:t>
                </w:r>
              </w:sdtContent>
            </w:sdt>
            <w:r w:rsidR="004D346F" w:rsidRPr="00E7353A">
              <w:rPr>
                <w:rFonts w:ascii="Verdana" w:hAnsi="Verdana"/>
                <w:sz w:val="22"/>
                <w:szCs w:val="22"/>
              </w:rPr>
              <w:t xml:space="preserve"> Prevention and Health Inequalities</w:t>
            </w:r>
          </w:p>
          <w:p w14:paraId="5682DF47" w14:textId="77777777" w:rsidR="004D346F" w:rsidRPr="00E7353A" w:rsidRDefault="001E69B3" w:rsidP="004D346F">
            <w:pPr>
              <w:spacing w:after="120"/>
              <w:jc w:val="both"/>
              <w:rPr>
                <w:rFonts w:ascii="Verdana" w:hAnsi="Verdana"/>
                <w:sz w:val="22"/>
                <w:szCs w:val="22"/>
              </w:rPr>
            </w:pPr>
            <w:sdt>
              <w:sdtPr>
                <w:rPr>
                  <w:rFonts w:ascii="Verdana" w:hAnsi="Verdana"/>
                  <w:sz w:val="22"/>
                  <w:szCs w:val="22"/>
                </w:rPr>
                <w:id w:val="-2134779369"/>
                <w14:checkbox>
                  <w14:checked w14:val="1"/>
                  <w14:checkedState w14:val="2612" w14:font="MS Gothic"/>
                  <w14:uncheckedState w14:val="2610" w14:font="MS Gothic"/>
                </w14:checkbox>
              </w:sdtPr>
              <w:sdtEndPr/>
              <w:sdtContent>
                <w:r w:rsidR="004D346F" w:rsidRPr="00E7353A">
                  <w:rPr>
                    <w:rFonts w:ascii="MS Gothic" w:eastAsia="MS Gothic" w:hAnsi="MS Gothic" w:hint="eastAsia"/>
                    <w:sz w:val="22"/>
                    <w:szCs w:val="22"/>
                  </w:rPr>
                  <w:t>☒</w:t>
                </w:r>
              </w:sdtContent>
            </w:sdt>
            <w:r w:rsidR="004D346F" w:rsidRPr="00E7353A">
              <w:rPr>
                <w:rFonts w:ascii="Verdana" w:hAnsi="Verdana"/>
                <w:sz w:val="22"/>
                <w:szCs w:val="22"/>
              </w:rPr>
              <w:t xml:space="preserve"> Care and Quality Outcomes</w:t>
            </w:r>
          </w:p>
          <w:p w14:paraId="75BC8413" w14:textId="77777777" w:rsidR="004D346F" w:rsidRPr="00E7353A" w:rsidRDefault="001E69B3" w:rsidP="004D346F">
            <w:pPr>
              <w:spacing w:after="120"/>
              <w:jc w:val="both"/>
              <w:rPr>
                <w:rFonts w:ascii="Verdana" w:hAnsi="Verdana"/>
                <w:sz w:val="22"/>
                <w:szCs w:val="22"/>
              </w:rPr>
            </w:pPr>
            <w:sdt>
              <w:sdtPr>
                <w:rPr>
                  <w:rFonts w:ascii="Verdana" w:hAnsi="Verdana"/>
                  <w:sz w:val="22"/>
                  <w:szCs w:val="22"/>
                </w:rPr>
                <w:id w:val="1643391264"/>
                <w14:checkbox>
                  <w14:checked w14:val="0"/>
                  <w14:checkedState w14:val="2612" w14:font="MS Gothic"/>
                  <w14:uncheckedState w14:val="2610" w14:font="MS Gothic"/>
                </w14:checkbox>
              </w:sdtPr>
              <w:sdtEndPr/>
              <w:sdtContent>
                <w:r w:rsidR="004D346F" w:rsidRPr="00E7353A">
                  <w:rPr>
                    <w:rFonts w:ascii="MS Gothic" w:eastAsia="MS Gothic" w:hAnsi="MS Gothic" w:hint="eastAsia"/>
                    <w:sz w:val="22"/>
                    <w:szCs w:val="22"/>
                  </w:rPr>
                  <w:t>☐</w:t>
                </w:r>
              </w:sdtContent>
            </w:sdt>
            <w:r w:rsidR="004D346F" w:rsidRPr="00E7353A">
              <w:rPr>
                <w:rFonts w:ascii="Verdana" w:hAnsi="Verdana"/>
                <w:sz w:val="22"/>
                <w:szCs w:val="22"/>
              </w:rPr>
              <w:t xml:space="preserve"> Workforce</w:t>
            </w:r>
          </w:p>
          <w:p w14:paraId="1A66C025" w14:textId="315052E4" w:rsidR="00BD2522" w:rsidRPr="00E7353A" w:rsidRDefault="001E69B3" w:rsidP="004D346F">
            <w:pPr>
              <w:spacing w:after="120"/>
              <w:jc w:val="both"/>
              <w:rPr>
                <w:rFonts w:ascii="Verdana" w:hAnsi="Verdana"/>
                <w:sz w:val="22"/>
                <w:szCs w:val="22"/>
              </w:rPr>
            </w:pPr>
            <w:sdt>
              <w:sdtPr>
                <w:rPr>
                  <w:rFonts w:ascii="Verdana" w:hAnsi="Verdana"/>
                  <w:sz w:val="22"/>
                  <w:szCs w:val="22"/>
                </w:rPr>
                <w:id w:val="-715198857"/>
                <w14:checkbox>
                  <w14:checked w14:val="0"/>
                  <w14:checkedState w14:val="2612" w14:font="MS Gothic"/>
                  <w14:uncheckedState w14:val="2610" w14:font="MS Gothic"/>
                </w14:checkbox>
              </w:sdtPr>
              <w:sdtEndPr/>
              <w:sdtContent>
                <w:r w:rsidR="004D346F" w:rsidRPr="00E7353A">
                  <w:rPr>
                    <w:rFonts w:ascii="MS Gothic" w:eastAsia="MS Gothic" w:hAnsi="MS Gothic" w:hint="eastAsia"/>
                    <w:sz w:val="22"/>
                    <w:szCs w:val="22"/>
                  </w:rPr>
                  <w:t>☐</w:t>
                </w:r>
              </w:sdtContent>
            </w:sdt>
            <w:r w:rsidR="004D346F" w:rsidRPr="00E7353A">
              <w:rPr>
                <w:rFonts w:ascii="Verdana" w:hAnsi="Verdana"/>
                <w:sz w:val="22"/>
                <w:szCs w:val="22"/>
              </w:rPr>
              <w:t xml:space="preserve"> Digital</w:t>
            </w:r>
          </w:p>
          <w:p w14:paraId="36C17D41" w14:textId="427E3773" w:rsidR="00BD2522" w:rsidRPr="00E7353A" w:rsidRDefault="001E69B3" w:rsidP="00BD2522">
            <w:pPr>
              <w:spacing w:after="120"/>
              <w:jc w:val="both"/>
              <w:rPr>
                <w:rFonts w:ascii="Verdana" w:hAnsi="Verdana"/>
                <w:sz w:val="22"/>
                <w:szCs w:val="22"/>
              </w:rPr>
            </w:pPr>
            <w:sdt>
              <w:sdtPr>
                <w:rPr>
                  <w:rFonts w:ascii="Verdana" w:hAnsi="Verdana"/>
                  <w:sz w:val="22"/>
                  <w:szCs w:val="22"/>
                </w:rPr>
                <w:id w:val="208458838"/>
                <w14:checkbox>
                  <w14:checked w14:val="1"/>
                  <w14:checkedState w14:val="2612" w14:font="MS Gothic"/>
                  <w14:uncheckedState w14:val="2610" w14:font="MS Gothic"/>
                </w14:checkbox>
              </w:sdtPr>
              <w:sdtEndPr/>
              <w:sdtContent>
                <w:r w:rsidR="00BD2522" w:rsidRPr="00E7353A">
                  <w:rPr>
                    <w:rFonts w:ascii="MS Gothic" w:eastAsia="MS Gothic" w:hAnsi="MS Gothic" w:hint="eastAsia"/>
                    <w:sz w:val="22"/>
                    <w:szCs w:val="22"/>
                  </w:rPr>
                  <w:t>☒</w:t>
                </w:r>
              </w:sdtContent>
            </w:sdt>
            <w:r w:rsidR="00BD2522" w:rsidRPr="00E7353A">
              <w:rPr>
                <w:rFonts w:ascii="Verdana" w:hAnsi="Verdana"/>
                <w:sz w:val="22"/>
                <w:szCs w:val="22"/>
              </w:rPr>
              <w:t xml:space="preserve"> Financial Tests</w:t>
            </w:r>
          </w:p>
          <w:p w14:paraId="37EEF79D" w14:textId="77777777" w:rsidR="00BD2522" w:rsidRPr="00E7353A" w:rsidRDefault="001E69B3" w:rsidP="00BD2522">
            <w:pPr>
              <w:pStyle w:val="ListParagraph"/>
              <w:spacing w:after="120"/>
              <w:ind w:left="631" w:hanging="284"/>
              <w:jc w:val="both"/>
              <w:rPr>
                <w:rFonts w:ascii="Verdana" w:hAnsi="Verdana"/>
                <w:sz w:val="22"/>
                <w:szCs w:val="22"/>
              </w:rPr>
            </w:pPr>
            <w:sdt>
              <w:sdtPr>
                <w:rPr>
                  <w:rFonts w:ascii="Verdana" w:hAnsi="Verdana"/>
                  <w:sz w:val="22"/>
                  <w:szCs w:val="22"/>
                </w:rPr>
                <w:id w:val="-1879152315"/>
                <w14:checkbox>
                  <w14:checked w14:val="1"/>
                  <w14:checkedState w14:val="2612" w14:font="MS Gothic"/>
                  <w14:uncheckedState w14:val="2610" w14:font="MS Gothic"/>
                </w14:checkbox>
              </w:sdtPr>
              <w:sdtEndPr/>
              <w:sdtContent>
                <w:r w:rsidR="00BD2522" w:rsidRPr="00E7353A">
                  <w:rPr>
                    <w:rFonts w:ascii="MS Gothic" w:eastAsia="MS Gothic" w:hAnsi="MS Gothic" w:hint="eastAsia"/>
                    <w:sz w:val="22"/>
                    <w:szCs w:val="22"/>
                  </w:rPr>
                  <w:t>☒</w:t>
                </w:r>
              </w:sdtContent>
            </w:sdt>
            <w:r w:rsidR="00BD2522" w:rsidRPr="00E7353A">
              <w:rPr>
                <w:rFonts w:ascii="Verdana" w:hAnsi="Verdana"/>
                <w:sz w:val="22"/>
                <w:szCs w:val="22"/>
              </w:rPr>
              <w:t xml:space="preserve"> Ensure each NHS organisation delivers its agreed financial position and that the NHS budget overall is balanced</w:t>
            </w:r>
          </w:p>
          <w:p w14:paraId="659E0312" w14:textId="77777777" w:rsidR="00BD2522" w:rsidRPr="00E7353A" w:rsidRDefault="001E69B3" w:rsidP="00BD2522">
            <w:pPr>
              <w:pStyle w:val="ListParagraph"/>
              <w:spacing w:after="120"/>
              <w:ind w:left="631" w:hanging="284"/>
              <w:jc w:val="both"/>
              <w:rPr>
                <w:rFonts w:ascii="Verdana" w:hAnsi="Verdana"/>
                <w:sz w:val="22"/>
                <w:szCs w:val="22"/>
              </w:rPr>
            </w:pPr>
            <w:sdt>
              <w:sdtPr>
                <w:rPr>
                  <w:rFonts w:ascii="Verdana" w:hAnsi="Verdana"/>
                  <w:sz w:val="22"/>
                  <w:szCs w:val="22"/>
                </w:rPr>
                <w:id w:val="-1337060602"/>
                <w14:checkbox>
                  <w14:checked w14:val="1"/>
                  <w14:checkedState w14:val="2612" w14:font="MS Gothic"/>
                  <w14:uncheckedState w14:val="2610" w14:font="MS Gothic"/>
                </w14:checkbox>
              </w:sdtPr>
              <w:sdtEndPr/>
              <w:sdtContent>
                <w:r w:rsidR="00BD2522" w:rsidRPr="00E7353A">
                  <w:rPr>
                    <w:rFonts w:ascii="MS Gothic" w:eastAsia="MS Gothic" w:hAnsi="MS Gothic" w:hint="eastAsia"/>
                    <w:sz w:val="22"/>
                    <w:szCs w:val="22"/>
                  </w:rPr>
                  <w:t>☒</w:t>
                </w:r>
              </w:sdtContent>
            </w:sdt>
            <w:r w:rsidR="00BD2522" w:rsidRPr="00E7353A">
              <w:rPr>
                <w:rFonts w:ascii="Verdana" w:hAnsi="Verdana"/>
                <w:sz w:val="22"/>
                <w:szCs w:val="22"/>
              </w:rPr>
              <w:t xml:space="preserve"> Reduce year-on-year the number of trusts and CCGs individually in deficit so that all NHS organisations are in balance by 2023/24</w:t>
            </w:r>
          </w:p>
          <w:p w14:paraId="79E8BCDA" w14:textId="77777777" w:rsidR="00BD2522" w:rsidRPr="00E7353A" w:rsidRDefault="001E69B3" w:rsidP="00BD2522">
            <w:pPr>
              <w:pStyle w:val="ListParagraph"/>
              <w:spacing w:after="120"/>
              <w:ind w:left="347"/>
              <w:jc w:val="both"/>
              <w:rPr>
                <w:rFonts w:ascii="Verdana" w:hAnsi="Verdana"/>
                <w:sz w:val="22"/>
                <w:szCs w:val="22"/>
              </w:rPr>
            </w:pPr>
            <w:sdt>
              <w:sdtPr>
                <w:rPr>
                  <w:rFonts w:ascii="Verdana" w:hAnsi="Verdana"/>
                  <w:sz w:val="22"/>
                  <w:szCs w:val="22"/>
                </w:rPr>
                <w:id w:val="-1772076343"/>
                <w14:checkbox>
                  <w14:checked w14:val="0"/>
                  <w14:checkedState w14:val="2612" w14:font="MS Gothic"/>
                  <w14:uncheckedState w14:val="2610" w14:font="MS Gothic"/>
                </w14:checkbox>
              </w:sdtPr>
              <w:sdtEndPr/>
              <w:sdtContent>
                <w:r w:rsidR="00BD2522" w:rsidRPr="00E7353A">
                  <w:rPr>
                    <w:rFonts w:ascii="MS Gothic" w:eastAsia="MS Gothic" w:hAnsi="MS Gothic" w:hint="eastAsia"/>
                    <w:sz w:val="22"/>
                    <w:szCs w:val="22"/>
                  </w:rPr>
                  <w:t>☐</w:t>
                </w:r>
              </w:sdtContent>
            </w:sdt>
            <w:r w:rsidR="00BD2522" w:rsidRPr="00E7353A">
              <w:rPr>
                <w:rFonts w:ascii="Verdana" w:hAnsi="Verdana"/>
                <w:sz w:val="22"/>
                <w:szCs w:val="22"/>
              </w:rPr>
              <w:t xml:space="preserve"> Phase in an updated Market Forces Factor over the next five years</w:t>
            </w:r>
          </w:p>
          <w:p w14:paraId="70A1E5F0" w14:textId="785F1544" w:rsidR="00BD2522" w:rsidRPr="00E7353A" w:rsidRDefault="001E69B3" w:rsidP="00BD2522">
            <w:pPr>
              <w:pStyle w:val="ListParagraph"/>
              <w:spacing w:after="120"/>
              <w:ind w:left="347"/>
              <w:jc w:val="both"/>
              <w:rPr>
                <w:rFonts w:ascii="Verdana" w:hAnsi="Verdana"/>
                <w:sz w:val="22"/>
                <w:szCs w:val="22"/>
              </w:rPr>
            </w:pPr>
            <w:sdt>
              <w:sdtPr>
                <w:rPr>
                  <w:rFonts w:ascii="Verdana" w:hAnsi="Verdana"/>
                  <w:sz w:val="22"/>
                  <w:szCs w:val="22"/>
                </w:rPr>
                <w:id w:val="1964844650"/>
                <w14:checkbox>
                  <w14:checked w14:val="1"/>
                  <w14:checkedState w14:val="2612" w14:font="MS Gothic"/>
                  <w14:uncheckedState w14:val="2610" w14:font="MS Gothic"/>
                </w14:checkbox>
              </w:sdtPr>
              <w:sdtEndPr/>
              <w:sdtContent>
                <w:r w:rsidR="00BD2522" w:rsidRPr="00E7353A">
                  <w:rPr>
                    <w:rFonts w:ascii="MS Gothic" w:eastAsia="MS Gothic" w:hAnsi="MS Gothic" w:hint="eastAsia"/>
                    <w:sz w:val="22"/>
                    <w:szCs w:val="22"/>
                  </w:rPr>
                  <w:t>☒</w:t>
                </w:r>
              </w:sdtContent>
            </w:sdt>
            <w:r w:rsidR="00BD2522" w:rsidRPr="00E7353A">
              <w:rPr>
                <w:rFonts w:ascii="Verdana" w:hAnsi="Verdana"/>
                <w:sz w:val="22"/>
                <w:szCs w:val="22"/>
              </w:rPr>
              <w:t xml:space="preserve"> Extend the Getting It Right First Time (GIRFT) programme</w:t>
            </w:r>
            <w:r w:rsidR="005B1D24" w:rsidRPr="00E7353A">
              <w:rPr>
                <w:rFonts w:ascii="Verdana" w:hAnsi="Verdana"/>
                <w:sz w:val="22"/>
                <w:szCs w:val="22"/>
              </w:rPr>
              <w:t>*</w:t>
            </w:r>
            <w:r w:rsidR="00BD2522" w:rsidRPr="00E7353A">
              <w:rPr>
                <w:rFonts w:ascii="Verdana" w:hAnsi="Verdana"/>
                <w:sz w:val="22"/>
                <w:szCs w:val="22"/>
              </w:rPr>
              <w:t xml:space="preserve"> </w:t>
            </w:r>
          </w:p>
          <w:p w14:paraId="109B90A3" w14:textId="01DD38CA" w:rsidR="002A0A10" w:rsidRPr="00E7353A" w:rsidRDefault="001E69B3" w:rsidP="008B4391">
            <w:pPr>
              <w:jc w:val="both"/>
              <w:rPr>
                <w:rFonts w:ascii="Verdana" w:hAnsi="Verdana"/>
                <w:sz w:val="22"/>
                <w:szCs w:val="22"/>
                <w:lang w:val="en-GB"/>
              </w:rPr>
            </w:pPr>
            <w:sdt>
              <w:sdtPr>
                <w:rPr>
                  <w:rFonts w:ascii="Verdana" w:hAnsi="Verdana"/>
                  <w:sz w:val="22"/>
                  <w:szCs w:val="22"/>
                </w:rPr>
                <w:id w:val="-551310986"/>
                <w14:checkbox>
                  <w14:checked w14:val="1"/>
                  <w14:checkedState w14:val="2612" w14:font="MS Gothic"/>
                  <w14:uncheckedState w14:val="2610" w14:font="MS Gothic"/>
                </w14:checkbox>
              </w:sdtPr>
              <w:sdtEndPr/>
              <w:sdtContent>
                <w:r w:rsidR="00BD2522" w:rsidRPr="00E7353A">
                  <w:rPr>
                    <w:rFonts w:ascii="MS Gothic" w:eastAsia="MS Gothic" w:hAnsi="MS Gothic" w:hint="eastAsia"/>
                    <w:sz w:val="22"/>
                    <w:szCs w:val="22"/>
                  </w:rPr>
                  <w:t>☒</w:t>
                </w:r>
              </w:sdtContent>
            </w:sdt>
            <w:r w:rsidR="00BD2522" w:rsidRPr="00E7353A">
              <w:rPr>
                <w:rFonts w:ascii="Verdana" w:hAnsi="Verdana"/>
                <w:sz w:val="22"/>
                <w:szCs w:val="22"/>
              </w:rPr>
              <w:t xml:space="preserve"> Improve patient safety to reduce patient harm and the substantial costs associated with it</w:t>
            </w:r>
            <w:r w:rsidR="008B4391" w:rsidRPr="00E7353A">
              <w:rPr>
                <w:rFonts w:ascii="Verdana" w:hAnsi="Verdana"/>
                <w:sz w:val="22"/>
                <w:szCs w:val="22"/>
                <w:lang w:val="en-GB"/>
              </w:rPr>
              <w:t>.</w:t>
            </w:r>
          </w:p>
        </w:tc>
      </w:tr>
      <w:tr w:rsidR="00075A83" w:rsidRPr="00BB3B60" w14:paraId="38970C1D" w14:textId="77777777" w:rsidTr="344A66DE">
        <w:trPr>
          <w:trHeight w:val="121"/>
        </w:trPr>
        <w:tc>
          <w:tcPr>
            <w:tcW w:w="8908" w:type="dxa"/>
            <w:shd w:val="clear" w:color="auto" w:fill="595959" w:themeFill="text1" w:themeFillTint="A6"/>
          </w:tcPr>
          <w:p w14:paraId="4E1FE4BD" w14:textId="77777777" w:rsidR="00075A83" w:rsidRPr="00BB3B60" w:rsidRDefault="0026228C" w:rsidP="0026228C">
            <w:pPr>
              <w:pStyle w:val="Mainheading"/>
              <w:rPr>
                <w:rFonts w:ascii="Verdana" w:hAnsi="Verdana"/>
                <w:sz w:val="22"/>
                <w:szCs w:val="22"/>
              </w:rPr>
            </w:pPr>
            <w:r w:rsidRPr="00BB3B60">
              <w:rPr>
                <w:rFonts w:ascii="Verdana" w:hAnsi="Verdana"/>
                <w:sz w:val="22"/>
                <w:szCs w:val="22"/>
              </w:rPr>
              <w:lastRenderedPageBreak/>
              <w:br w:type="page"/>
            </w:r>
            <w:r w:rsidR="004471CB" w:rsidRPr="00BB3B60">
              <w:rPr>
                <w:rFonts w:ascii="Verdana" w:hAnsi="Verdana"/>
                <w:sz w:val="22"/>
                <w:szCs w:val="22"/>
              </w:rPr>
              <w:t>3.</w:t>
            </w:r>
            <w:r w:rsidR="004471CB" w:rsidRPr="00BB3B60">
              <w:rPr>
                <w:rFonts w:ascii="Verdana" w:hAnsi="Verdana"/>
                <w:sz w:val="22"/>
                <w:szCs w:val="22"/>
              </w:rPr>
              <w:tab/>
              <w:t>Scope</w:t>
            </w:r>
          </w:p>
        </w:tc>
      </w:tr>
      <w:tr w:rsidR="00075A83" w:rsidRPr="00BB3B60" w14:paraId="2A0E9DC1" w14:textId="77777777" w:rsidTr="344A66DE">
        <w:trPr>
          <w:trHeight w:val="121"/>
        </w:trPr>
        <w:tc>
          <w:tcPr>
            <w:tcW w:w="8908" w:type="dxa"/>
            <w:shd w:val="clear" w:color="auto" w:fill="auto"/>
          </w:tcPr>
          <w:p w14:paraId="29692A15" w14:textId="7F296D7C" w:rsidR="00036E42" w:rsidRPr="007D6D9E" w:rsidRDefault="00F95D8E" w:rsidP="006347F8">
            <w:pPr>
              <w:spacing w:before="120" w:after="120"/>
              <w:rPr>
                <w:rStyle w:val="Hyperlink"/>
                <w:rFonts w:ascii="Verdana" w:hAnsi="Verdana" w:cs="Arial"/>
                <w:b/>
                <w:color w:val="009966"/>
                <w:sz w:val="22"/>
                <w:szCs w:val="22"/>
                <w:u w:val="none"/>
                <w:lang w:val="en-GB"/>
              </w:rPr>
            </w:pPr>
            <w:r w:rsidRPr="007D6D9E">
              <w:rPr>
                <w:rFonts w:ascii="Verdana" w:hAnsi="Verdana" w:cs="Arial"/>
                <w:b/>
                <w:color w:val="009966"/>
                <w:sz w:val="22"/>
                <w:szCs w:val="22"/>
                <w:lang w:val="en-GB"/>
              </w:rPr>
              <w:t xml:space="preserve">3.1 </w:t>
            </w:r>
            <w:r w:rsidR="00075A83" w:rsidRPr="007D6D9E">
              <w:rPr>
                <w:rFonts w:ascii="Verdana" w:hAnsi="Verdana" w:cs="Arial"/>
                <w:b/>
                <w:color w:val="009966"/>
                <w:sz w:val="22"/>
                <w:szCs w:val="22"/>
                <w:lang w:val="en-GB"/>
              </w:rPr>
              <w:t>Aims</w:t>
            </w:r>
            <w:r w:rsidR="002A0A10" w:rsidRPr="007D6D9E">
              <w:rPr>
                <w:rFonts w:ascii="Verdana" w:hAnsi="Verdana" w:cs="Arial"/>
                <w:b/>
                <w:color w:val="009966"/>
                <w:sz w:val="22"/>
                <w:szCs w:val="22"/>
                <w:lang w:val="en-GB"/>
              </w:rPr>
              <w:t>, O</w:t>
            </w:r>
            <w:r w:rsidR="0014513C" w:rsidRPr="007D6D9E">
              <w:rPr>
                <w:rFonts w:ascii="Verdana" w:hAnsi="Verdana" w:cs="Arial"/>
                <w:b/>
                <w:color w:val="009966"/>
                <w:sz w:val="22"/>
                <w:szCs w:val="22"/>
                <w:lang w:val="en-GB"/>
              </w:rPr>
              <w:t>bjectives</w:t>
            </w:r>
            <w:r w:rsidR="002A0A10" w:rsidRPr="007D6D9E">
              <w:rPr>
                <w:rFonts w:ascii="Verdana" w:hAnsi="Verdana" w:cs="Arial"/>
                <w:b/>
                <w:color w:val="009966"/>
                <w:sz w:val="22"/>
                <w:szCs w:val="22"/>
                <w:lang w:val="en-GB"/>
              </w:rPr>
              <w:t xml:space="preserve"> and O</w:t>
            </w:r>
            <w:r w:rsidR="0014513C" w:rsidRPr="007D6D9E">
              <w:rPr>
                <w:rFonts w:ascii="Verdana" w:hAnsi="Verdana" w:cs="Arial"/>
                <w:b/>
                <w:color w:val="009966"/>
                <w:sz w:val="22"/>
                <w:szCs w:val="22"/>
                <w:lang w:val="en-GB"/>
              </w:rPr>
              <w:t xml:space="preserve">utcomes </w:t>
            </w:r>
            <w:r w:rsidR="00075A83" w:rsidRPr="007D6D9E">
              <w:rPr>
                <w:rFonts w:ascii="Verdana" w:hAnsi="Verdana" w:cs="Arial"/>
                <w:b/>
                <w:color w:val="009966"/>
                <w:sz w:val="22"/>
                <w:szCs w:val="22"/>
                <w:lang w:val="en-GB"/>
              </w:rPr>
              <w:t xml:space="preserve">of </w:t>
            </w:r>
            <w:r w:rsidR="0014513C" w:rsidRPr="007D6D9E">
              <w:rPr>
                <w:rFonts w:ascii="Verdana" w:hAnsi="Verdana" w:cs="Arial"/>
                <w:b/>
                <w:color w:val="009966"/>
                <w:sz w:val="22"/>
                <w:szCs w:val="22"/>
                <w:lang w:val="en-GB"/>
              </w:rPr>
              <w:t xml:space="preserve">the FLS </w:t>
            </w:r>
          </w:p>
          <w:p w14:paraId="3D9DA626" w14:textId="1A1D45EE" w:rsidR="006347F8" w:rsidRPr="007D6D9E" w:rsidRDefault="003E0C99" w:rsidP="00BD24E3">
            <w:pPr>
              <w:spacing w:after="120"/>
              <w:jc w:val="both"/>
              <w:rPr>
                <w:rFonts w:ascii="Verdana" w:hAnsi="Verdana" w:cs="Arial"/>
                <w:sz w:val="22"/>
                <w:szCs w:val="22"/>
                <w:lang w:val="en-GB"/>
              </w:rPr>
            </w:pPr>
            <w:r w:rsidRPr="007D6D9E">
              <w:rPr>
                <w:rFonts w:ascii="Verdana" w:hAnsi="Verdana" w:cs="Arial"/>
                <w:sz w:val="22"/>
                <w:szCs w:val="22"/>
                <w:lang w:val="en-GB"/>
              </w:rPr>
              <w:t xml:space="preserve">The </w:t>
            </w:r>
            <w:r w:rsidRPr="007D6D9E">
              <w:rPr>
                <w:rFonts w:ascii="Verdana" w:hAnsi="Verdana" w:cs="Arial"/>
                <w:bCs/>
                <w:sz w:val="22"/>
                <w:szCs w:val="22"/>
                <w:lang w:val="en-GB"/>
              </w:rPr>
              <w:t>aim</w:t>
            </w:r>
            <w:r w:rsidRPr="007D6D9E">
              <w:rPr>
                <w:rFonts w:ascii="Verdana" w:hAnsi="Verdana" w:cs="Arial"/>
                <w:sz w:val="22"/>
                <w:szCs w:val="22"/>
                <w:lang w:val="en-GB"/>
              </w:rPr>
              <w:t xml:space="preserve"> of the </w:t>
            </w:r>
            <w:r w:rsidR="000E6D0A" w:rsidRPr="007D6D9E">
              <w:rPr>
                <w:rFonts w:ascii="Verdana" w:hAnsi="Verdana" w:cs="Arial"/>
                <w:sz w:val="22"/>
                <w:szCs w:val="22"/>
                <w:lang w:val="en-GB"/>
              </w:rPr>
              <w:t>FLS</w:t>
            </w:r>
            <w:r w:rsidR="002D7854" w:rsidRPr="007D6D9E">
              <w:rPr>
                <w:rFonts w:ascii="Verdana" w:hAnsi="Verdana" w:cs="Arial"/>
                <w:sz w:val="22"/>
                <w:szCs w:val="22"/>
                <w:lang w:val="en-GB"/>
              </w:rPr>
              <w:t xml:space="preserve"> is to </w:t>
            </w:r>
            <w:r w:rsidR="002D7854" w:rsidRPr="007D6D9E">
              <w:rPr>
                <w:rFonts w:ascii="Verdana" w:hAnsi="Verdana" w:cs="Arial"/>
                <w:sz w:val="22"/>
                <w:szCs w:val="22"/>
              </w:rPr>
              <w:t>reduce the incidence of fragility fractures</w:t>
            </w:r>
            <w:r w:rsidR="002A1061" w:rsidRPr="007D6D9E">
              <w:rPr>
                <w:rFonts w:ascii="Verdana" w:hAnsi="Verdana" w:cs="Arial"/>
                <w:sz w:val="22"/>
                <w:szCs w:val="22"/>
              </w:rPr>
              <w:t xml:space="preserve"> </w:t>
            </w:r>
            <w:r w:rsidR="00C21539" w:rsidRPr="007D6D9E">
              <w:rPr>
                <w:rFonts w:ascii="Verdana" w:hAnsi="Verdana" w:cs="Arial"/>
                <w:sz w:val="22"/>
                <w:szCs w:val="22"/>
              </w:rPr>
              <w:t xml:space="preserve">in the older population. </w:t>
            </w:r>
            <w:r w:rsidR="002D7854" w:rsidRPr="007D6D9E">
              <w:rPr>
                <w:rFonts w:ascii="Verdana" w:hAnsi="Verdana" w:cs="Arial"/>
                <w:sz w:val="22"/>
                <w:szCs w:val="22"/>
              </w:rPr>
              <w:t xml:space="preserve"> </w:t>
            </w:r>
          </w:p>
          <w:p w14:paraId="47421846" w14:textId="0C0A3EF4" w:rsidR="00BA11CD" w:rsidRPr="007D6D9E" w:rsidRDefault="00BA11CD" w:rsidP="00BA11CD">
            <w:pPr>
              <w:spacing w:after="120"/>
              <w:jc w:val="both"/>
              <w:rPr>
                <w:rFonts w:ascii="Verdana" w:hAnsi="Verdana" w:cs="Arial"/>
                <w:sz w:val="22"/>
                <w:szCs w:val="22"/>
              </w:rPr>
            </w:pPr>
            <w:r w:rsidRPr="007D6D9E">
              <w:rPr>
                <w:rFonts w:ascii="Verdana" w:hAnsi="Verdana" w:cs="Arial"/>
                <w:b/>
                <w:color w:val="009966"/>
                <w:sz w:val="22"/>
                <w:szCs w:val="22"/>
                <w:lang w:val="en-GB"/>
              </w:rPr>
              <w:lastRenderedPageBreak/>
              <w:t>Objectives</w:t>
            </w:r>
            <w:r w:rsidR="0014513C" w:rsidRPr="007D6D9E">
              <w:rPr>
                <w:rFonts w:ascii="Verdana" w:hAnsi="Verdana" w:cs="Arial"/>
                <w:b/>
                <w:color w:val="009966"/>
                <w:sz w:val="22"/>
                <w:szCs w:val="22"/>
                <w:lang w:val="en-GB"/>
              </w:rPr>
              <w:t xml:space="preserve"> of the FLS </w:t>
            </w:r>
            <w:r w:rsidR="0014513C" w:rsidRPr="007D6D9E">
              <w:rPr>
                <w:rFonts w:ascii="Verdana" w:hAnsi="Verdana" w:cs="Arial"/>
                <w:sz w:val="22"/>
                <w:szCs w:val="22"/>
              </w:rPr>
              <w:t>are</w:t>
            </w:r>
            <w:r w:rsidRPr="007D6D9E">
              <w:rPr>
                <w:rFonts w:ascii="Verdana" w:hAnsi="Verdana" w:cs="Arial"/>
                <w:sz w:val="22"/>
                <w:szCs w:val="22"/>
              </w:rPr>
              <w:t xml:space="preserve"> to deliver care </w:t>
            </w:r>
            <w:r w:rsidR="006347F8" w:rsidRPr="007D6D9E">
              <w:rPr>
                <w:rFonts w:ascii="Verdana" w:hAnsi="Verdana" w:cs="Arial"/>
                <w:sz w:val="22"/>
                <w:szCs w:val="22"/>
              </w:rPr>
              <w:t>in line with</w:t>
            </w:r>
            <w:r w:rsidRPr="007D6D9E">
              <w:rPr>
                <w:rFonts w:ascii="Verdana" w:hAnsi="Verdana" w:cs="Arial"/>
                <w:sz w:val="22"/>
                <w:szCs w:val="22"/>
              </w:rPr>
              <w:t xml:space="preserve"> the published </w:t>
            </w:r>
            <w:hyperlink r:id="rId13" w:history="1">
              <w:r w:rsidR="006347F8" w:rsidRPr="00EA7603">
                <w:rPr>
                  <w:rStyle w:val="Hyperlink"/>
                  <w:rFonts w:ascii="Verdana" w:hAnsi="Verdana" w:cs="Arial"/>
                  <w:sz w:val="22"/>
                  <w:szCs w:val="22"/>
                </w:rPr>
                <w:t>Royal Osteoporosis Society Clinical Standards for FL</w:t>
              </w:r>
              <w:r w:rsidR="00E97158" w:rsidRPr="00EA7603">
                <w:rPr>
                  <w:rStyle w:val="Hyperlink"/>
                  <w:rFonts w:ascii="Verdana" w:hAnsi="Verdana" w:cs="Arial"/>
                  <w:sz w:val="22"/>
                  <w:szCs w:val="22"/>
                </w:rPr>
                <w:t>S</w:t>
              </w:r>
            </w:hyperlink>
            <w:r w:rsidR="00B34456" w:rsidRPr="007D6D9E">
              <w:rPr>
                <w:rFonts w:ascii="Verdana" w:hAnsi="Verdana" w:cs="Arial"/>
                <w:sz w:val="22"/>
                <w:szCs w:val="22"/>
              </w:rPr>
              <w:t>, which correlate to the FLS-DB National KPI</w:t>
            </w:r>
            <w:r w:rsidR="00E37675" w:rsidRPr="007D6D9E">
              <w:rPr>
                <w:rFonts w:ascii="Verdana" w:hAnsi="Verdana" w:cs="Arial"/>
                <w:sz w:val="22"/>
                <w:szCs w:val="22"/>
              </w:rPr>
              <w:t>s</w:t>
            </w:r>
            <w:r w:rsidR="00B34456" w:rsidRPr="007D6D9E">
              <w:rPr>
                <w:rFonts w:ascii="Verdana" w:hAnsi="Verdana" w:cs="Arial"/>
                <w:sz w:val="22"/>
                <w:szCs w:val="22"/>
              </w:rPr>
              <w:t>.</w:t>
            </w:r>
            <w:r w:rsidR="00E37675" w:rsidRPr="007D6D9E">
              <w:rPr>
                <w:rFonts w:ascii="Verdana" w:hAnsi="Verdana" w:cs="Arial"/>
                <w:sz w:val="22"/>
                <w:szCs w:val="22"/>
              </w:rPr>
              <w:t xml:space="preserve"> </w:t>
            </w:r>
            <w:r w:rsidR="00E97158" w:rsidRPr="007D6D9E">
              <w:rPr>
                <w:rFonts w:ascii="Verdana" w:hAnsi="Verdana" w:cs="Arial"/>
                <w:sz w:val="22"/>
                <w:szCs w:val="22"/>
              </w:rPr>
              <w:t xml:space="preserve"> </w:t>
            </w:r>
          </w:p>
          <w:p w14:paraId="3CA52FB2" w14:textId="77777777" w:rsidR="00277253" w:rsidRPr="007D6D9E" w:rsidRDefault="000F111B" w:rsidP="00CA68EC">
            <w:pPr>
              <w:pStyle w:val="ListParagraph"/>
              <w:numPr>
                <w:ilvl w:val="0"/>
                <w:numId w:val="5"/>
              </w:numPr>
              <w:spacing w:after="120"/>
              <w:contextualSpacing/>
              <w:rPr>
                <w:rFonts w:ascii="Verdana" w:hAnsi="Verdana"/>
                <w:sz w:val="22"/>
                <w:szCs w:val="22"/>
              </w:rPr>
            </w:pPr>
            <w:r w:rsidRPr="007D6D9E">
              <w:rPr>
                <w:rFonts w:ascii="Verdana" w:hAnsi="Verdana"/>
                <w:b/>
                <w:bCs/>
                <w:sz w:val="22"/>
                <w:szCs w:val="22"/>
              </w:rPr>
              <w:t>Identify:</w:t>
            </w:r>
            <w:r w:rsidRPr="007D6D9E">
              <w:rPr>
                <w:rFonts w:ascii="Verdana" w:hAnsi="Verdana"/>
                <w:sz w:val="22"/>
                <w:szCs w:val="22"/>
              </w:rPr>
              <w:t xml:space="preserve"> </w:t>
            </w:r>
          </w:p>
          <w:p w14:paraId="1454C5ED" w14:textId="455A84CB" w:rsidR="000F111B" w:rsidRPr="007D6D9E" w:rsidRDefault="000F111B" w:rsidP="00277253">
            <w:pPr>
              <w:spacing w:after="120"/>
              <w:contextualSpacing/>
              <w:rPr>
                <w:rFonts w:ascii="Verdana" w:hAnsi="Verdana"/>
                <w:sz w:val="22"/>
                <w:szCs w:val="22"/>
              </w:rPr>
            </w:pPr>
            <w:r w:rsidRPr="007D6D9E">
              <w:rPr>
                <w:rFonts w:ascii="Verdana" w:hAnsi="Verdana"/>
                <w:sz w:val="22"/>
                <w:szCs w:val="22"/>
              </w:rPr>
              <w:t xml:space="preserve">The FLS will identify people aged 50 years and older, with a new fragility fracture, including: </w:t>
            </w:r>
          </w:p>
          <w:p w14:paraId="1339DB15" w14:textId="77777777" w:rsidR="000F111B" w:rsidRPr="007D6D9E" w:rsidRDefault="000F111B" w:rsidP="00CA68EC">
            <w:pPr>
              <w:pStyle w:val="ListParagraph"/>
              <w:numPr>
                <w:ilvl w:val="0"/>
                <w:numId w:val="5"/>
              </w:numPr>
              <w:spacing w:after="120"/>
              <w:contextualSpacing/>
              <w:rPr>
                <w:rFonts w:ascii="Verdana" w:hAnsi="Verdana"/>
                <w:sz w:val="22"/>
                <w:szCs w:val="22"/>
              </w:rPr>
            </w:pPr>
            <w:r w:rsidRPr="007D6D9E">
              <w:rPr>
                <w:rFonts w:ascii="Verdana" w:hAnsi="Verdana"/>
                <w:b/>
                <w:bCs/>
                <w:sz w:val="22"/>
                <w:szCs w:val="22"/>
              </w:rPr>
              <w:t>1.1</w:t>
            </w:r>
            <w:r w:rsidRPr="007D6D9E">
              <w:rPr>
                <w:rFonts w:ascii="Verdana" w:hAnsi="Verdana"/>
                <w:sz w:val="22"/>
                <w:szCs w:val="22"/>
              </w:rPr>
              <w:t xml:space="preserve"> newly identified vertebral fracture, including those identified as incidental findings on imaging. </w:t>
            </w:r>
          </w:p>
          <w:p w14:paraId="2D968122" w14:textId="4EC85B1D" w:rsidR="000F111B" w:rsidRPr="007D6D9E" w:rsidRDefault="000F111B" w:rsidP="00CA68EC">
            <w:pPr>
              <w:pStyle w:val="ListParagraph"/>
              <w:numPr>
                <w:ilvl w:val="0"/>
                <w:numId w:val="5"/>
              </w:numPr>
              <w:spacing w:after="120"/>
              <w:contextualSpacing/>
              <w:rPr>
                <w:rFonts w:ascii="Verdana" w:hAnsi="Verdana"/>
                <w:sz w:val="22"/>
                <w:szCs w:val="22"/>
              </w:rPr>
            </w:pPr>
            <w:r w:rsidRPr="007D6D9E">
              <w:rPr>
                <w:rFonts w:ascii="Verdana" w:hAnsi="Verdana"/>
                <w:b/>
                <w:bCs/>
                <w:sz w:val="22"/>
                <w:szCs w:val="22"/>
              </w:rPr>
              <w:t>1.2</w:t>
            </w:r>
            <w:r w:rsidRPr="007D6D9E">
              <w:rPr>
                <w:rFonts w:ascii="Verdana" w:hAnsi="Verdana"/>
                <w:sz w:val="22"/>
                <w:szCs w:val="22"/>
              </w:rPr>
              <w:t xml:space="preserve"> new fracture occurring whilst a patient is taking an osteoporosis drug treatment.</w:t>
            </w:r>
          </w:p>
          <w:p w14:paraId="7ED485D7" w14:textId="77777777" w:rsidR="0039141A" w:rsidRPr="007D6D9E" w:rsidRDefault="0039141A" w:rsidP="0039141A">
            <w:pPr>
              <w:pStyle w:val="ListParagraph"/>
              <w:spacing w:after="120"/>
              <w:ind w:left="360"/>
              <w:contextualSpacing/>
              <w:rPr>
                <w:rFonts w:ascii="Verdana" w:hAnsi="Verdana"/>
                <w:sz w:val="22"/>
                <w:szCs w:val="22"/>
              </w:rPr>
            </w:pPr>
          </w:p>
          <w:p w14:paraId="5F82A32C" w14:textId="77777777" w:rsidR="00277253" w:rsidRPr="007D6D9E" w:rsidRDefault="000F111B" w:rsidP="00CA68EC">
            <w:pPr>
              <w:pStyle w:val="ListParagraph"/>
              <w:numPr>
                <w:ilvl w:val="0"/>
                <w:numId w:val="5"/>
              </w:numPr>
              <w:spacing w:after="200"/>
              <w:contextualSpacing/>
              <w:rPr>
                <w:rFonts w:ascii="Verdana" w:hAnsi="Verdana"/>
                <w:sz w:val="22"/>
                <w:szCs w:val="22"/>
              </w:rPr>
            </w:pPr>
            <w:r w:rsidRPr="007D6D9E">
              <w:rPr>
                <w:rFonts w:ascii="Verdana" w:hAnsi="Verdana"/>
                <w:b/>
                <w:bCs/>
                <w:sz w:val="22"/>
                <w:szCs w:val="22"/>
              </w:rPr>
              <w:t>Investigate:</w:t>
            </w:r>
            <w:r w:rsidRPr="007D6D9E">
              <w:rPr>
                <w:rFonts w:ascii="Verdana" w:hAnsi="Verdana"/>
                <w:sz w:val="22"/>
                <w:szCs w:val="22"/>
              </w:rPr>
              <w:t xml:space="preserve"> </w:t>
            </w:r>
          </w:p>
          <w:p w14:paraId="01E4BA4A" w14:textId="615A47D5" w:rsidR="000F111B" w:rsidRPr="007D6D9E" w:rsidRDefault="000F111B" w:rsidP="00277253">
            <w:pPr>
              <w:contextualSpacing/>
              <w:rPr>
                <w:rFonts w:ascii="Verdana" w:hAnsi="Verdana"/>
                <w:sz w:val="22"/>
                <w:szCs w:val="22"/>
              </w:rPr>
            </w:pPr>
            <w:r w:rsidRPr="007D6D9E">
              <w:rPr>
                <w:rFonts w:ascii="Verdana" w:hAnsi="Verdana"/>
                <w:sz w:val="22"/>
                <w:szCs w:val="22"/>
              </w:rPr>
              <w:t xml:space="preserve">People identified by the FLS will be offered a multifactorial assessment to determine their future risk of fragility fracture. This assessment will be completed within 12 weeks of the incident fracture.  </w:t>
            </w:r>
          </w:p>
          <w:p w14:paraId="3D1D8920" w14:textId="77777777" w:rsidR="00277253" w:rsidRPr="007D6D9E" w:rsidRDefault="000F111B" w:rsidP="00CA68EC">
            <w:pPr>
              <w:pStyle w:val="ListParagraph"/>
              <w:numPr>
                <w:ilvl w:val="0"/>
                <w:numId w:val="5"/>
              </w:numPr>
              <w:spacing w:after="200"/>
              <w:contextualSpacing/>
              <w:rPr>
                <w:rFonts w:ascii="Verdana" w:hAnsi="Verdana"/>
                <w:sz w:val="22"/>
                <w:szCs w:val="22"/>
              </w:rPr>
            </w:pPr>
            <w:r w:rsidRPr="007D6D9E">
              <w:rPr>
                <w:rFonts w:ascii="Verdana" w:hAnsi="Verdana"/>
                <w:b/>
                <w:bCs/>
                <w:sz w:val="22"/>
                <w:szCs w:val="22"/>
              </w:rPr>
              <w:t>Inform:</w:t>
            </w:r>
            <w:r w:rsidRPr="007D6D9E">
              <w:rPr>
                <w:rFonts w:ascii="Verdana" w:hAnsi="Verdana"/>
                <w:sz w:val="22"/>
                <w:szCs w:val="22"/>
              </w:rPr>
              <w:t xml:space="preserve"> </w:t>
            </w:r>
          </w:p>
          <w:p w14:paraId="23D48027" w14:textId="5F9B3C04" w:rsidR="00A46A18" w:rsidRPr="007D6D9E" w:rsidRDefault="000F111B" w:rsidP="00277253">
            <w:pPr>
              <w:contextualSpacing/>
              <w:rPr>
                <w:rFonts w:ascii="Verdana" w:hAnsi="Verdana"/>
                <w:sz w:val="22"/>
                <w:szCs w:val="22"/>
              </w:rPr>
            </w:pPr>
            <w:r w:rsidRPr="007D6D9E">
              <w:rPr>
                <w:rFonts w:ascii="Verdana" w:hAnsi="Verdana"/>
                <w:sz w:val="22"/>
                <w:szCs w:val="22"/>
              </w:rPr>
              <w:t xml:space="preserve">People identified as being at increased risk of fragility fracture will be offered information, according to their needs in relation to osteoporosis and its treatment, lifestyle interventions to promote healthy bones, coping with pain and reducing falls. </w:t>
            </w:r>
          </w:p>
          <w:p w14:paraId="1B43FFDB" w14:textId="77777777" w:rsidR="000F111B" w:rsidRPr="007D6D9E" w:rsidRDefault="000F111B" w:rsidP="00CA68EC">
            <w:pPr>
              <w:pStyle w:val="ListParagraph"/>
              <w:numPr>
                <w:ilvl w:val="0"/>
                <w:numId w:val="5"/>
              </w:numPr>
              <w:spacing w:after="200"/>
              <w:contextualSpacing/>
              <w:rPr>
                <w:rFonts w:ascii="Verdana" w:hAnsi="Verdana"/>
                <w:sz w:val="22"/>
                <w:szCs w:val="22"/>
              </w:rPr>
            </w:pPr>
            <w:r w:rsidRPr="007D6D9E">
              <w:rPr>
                <w:rFonts w:ascii="Verdana" w:hAnsi="Verdana"/>
                <w:b/>
                <w:bCs/>
                <w:sz w:val="22"/>
                <w:szCs w:val="22"/>
              </w:rPr>
              <w:t>Intervene:</w:t>
            </w:r>
            <w:r w:rsidRPr="007D6D9E">
              <w:rPr>
                <w:rFonts w:ascii="Verdana" w:hAnsi="Verdana"/>
                <w:sz w:val="22"/>
                <w:szCs w:val="22"/>
              </w:rPr>
              <w:t xml:space="preserve"> </w:t>
            </w:r>
          </w:p>
          <w:p w14:paraId="1ABB3DFE" w14:textId="4C106F4D" w:rsidR="000F111B" w:rsidRPr="007D6D9E" w:rsidRDefault="00A46A18" w:rsidP="00CA68EC">
            <w:pPr>
              <w:pStyle w:val="ListParagraph"/>
              <w:numPr>
                <w:ilvl w:val="0"/>
                <w:numId w:val="5"/>
              </w:numPr>
              <w:spacing w:after="120"/>
              <w:contextualSpacing/>
              <w:rPr>
                <w:rFonts w:ascii="Verdana" w:hAnsi="Verdana"/>
                <w:sz w:val="22"/>
                <w:szCs w:val="22"/>
              </w:rPr>
            </w:pPr>
            <w:r w:rsidRPr="007D6D9E">
              <w:rPr>
                <w:rFonts w:ascii="Verdana" w:hAnsi="Verdana"/>
                <w:b/>
                <w:bCs/>
                <w:sz w:val="22"/>
                <w:szCs w:val="22"/>
              </w:rPr>
              <w:t>4.1</w:t>
            </w:r>
            <w:r w:rsidRPr="007D6D9E">
              <w:rPr>
                <w:rFonts w:ascii="Verdana" w:hAnsi="Verdana"/>
                <w:sz w:val="22"/>
                <w:szCs w:val="22"/>
              </w:rPr>
              <w:t xml:space="preserve"> </w:t>
            </w:r>
            <w:r w:rsidR="000F111B" w:rsidRPr="007D6D9E">
              <w:rPr>
                <w:rFonts w:ascii="Verdana" w:hAnsi="Verdana"/>
                <w:sz w:val="22"/>
                <w:szCs w:val="22"/>
              </w:rPr>
              <w:t xml:space="preserve">People assessed as being at risk of fragility fracture will be initiated on appropriate osteoporosis drug treatment, barring any contraindications, within 16 weeks of the incident fracture. </w:t>
            </w:r>
          </w:p>
          <w:p w14:paraId="1C45ED0D" w14:textId="77777777" w:rsidR="000F111B" w:rsidRPr="007D6D9E" w:rsidRDefault="000F111B" w:rsidP="00CA68EC">
            <w:pPr>
              <w:pStyle w:val="ListParagraph"/>
              <w:numPr>
                <w:ilvl w:val="0"/>
                <w:numId w:val="5"/>
              </w:numPr>
              <w:spacing w:after="120"/>
              <w:contextualSpacing/>
              <w:rPr>
                <w:rFonts w:ascii="Verdana" w:hAnsi="Verdana"/>
                <w:sz w:val="22"/>
                <w:szCs w:val="22"/>
              </w:rPr>
            </w:pPr>
            <w:r w:rsidRPr="007D6D9E">
              <w:rPr>
                <w:rFonts w:ascii="Verdana" w:hAnsi="Verdana"/>
                <w:b/>
                <w:bCs/>
                <w:sz w:val="22"/>
                <w:szCs w:val="22"/>
              </w:rPr>
              <w:t>4.2</w:t>
            </w:r>
            <w:r w:rsidRPr="007D6D9E">
              <w:rPr>
                <w:rFonts w:ascii="Verdana" w:hAnsi="Verdana"/>
                <w:sz w:val="22"/>
                <w:szCs w:val="22"/>
              </w:rPr>
              <w:t xml:space="preserve"> People identified as being at high risk of falls will be referred to a falls prevention service to be offered a comprehensive falls assessment within 16 weeks of the incident fracture.</w:t>
            </w:r>
          </w:p>
          <w:p w14:paraId="41A3D2E8" w14:textId="77777777" w:rsidR="000F111B" w:rsidRPr="007D6D9E" w:rsidRDefault="000F111B" w:rsidP="00CA68EC">
            <w:pPr>
              <w:pStyle w:val="ListParagraph"/>
              <w:numPr>
                <w:ilvl w:val="0"/>
                <w:numId w:val="5"/>
              </w:numPr>
              <w:spacing w:after="120"/>
              <w:contextualSpacing/>
              <w:rPr>
                <w:rFonts w:ascii="Verdana" w:hAnsi="Verdana"/>
                <w:sz w:val="22"/>
                <w:szCs w:val="22"/>
              </w:rPr>
            </w:pPr>
            <w:r w:rsidRPr="007D6D9E">
              <w:rPr>
                <w:rFonts w:ascii="Verdana" w:hAnsi="Verdana"/>
                <w:b/>
                <w:bCs/>
                <w:sz w:val="22"/>
                <w:szCs w:val="22"/>
              </w:rPr>
              <w:t>4.3</w:t>
            </w:r>
            <w:r w:rsidRPr="007D6D9E">
              <w:rPr>
                <w:rFonts w:ascii="Verdana" w:hAnsi="Verdana"/>
                <w:sz w:val="22"/>
                <w:szCs w:val="22"/>
              </w:rPr>
              <w:t xml:space="preserve"> People who are recommended treatment to reduce their risk of fragility fracture will be reviewed by the FLS at 16 and 52 weeks post incident fracture. </w:t>
            </w:r>
          </w:p>
          <w:p w14:paraId="44DED730" w14:textId="3B02D87E" w:rsidR="000F111B" w:rsidRPr="007D6D9E" w:rsidRDefault="000F111B" w:rsidP="00CA68EC">
            <w:pPr>
              <w:pStyle w:val="ListParagraph"/>
              <w:numPr>
                <w:ilvl w:val="0"/>
                <w:numId w:val="5"/>
              </w:numPr>
              <w:spacing w:after="120"/>
              <w:contextualSpacing/>
              <w:rPr>
                <w:rFonts w:ascii="Verdana" w:hAnsi="Verdana"/>
                <w:sz w:val="22"/>
                <w:szCs w:val="22"/>
              </w:rPr>
            </w:pPr>
            <w:r w:rsidRPr="007D6D9E">
              <w:rPr>
                <w:rFonts w:ascii="Verdana" w:hAnsi="Verdana"/>
                <w:b/>
                <w:bCs/>
                <w:sz w:val="22"/>
                <w:szCs w:val="22"/>
              </w:rPr>
              <w:t>4.4</w:t>
            </w:r>
            <w:r w:rsidRPr="007D6D9E">
              <w:rPr>
                <w:rFonts w:ascii="Verdana" w:hAnsi="Verdana"/>
                <w:sz w:val="22"/>
                <w:szCs w:val="22"/>
              </w:rPr>
              <w:t xml:space="preserve"> After the </w:t>
            </w:r>
            <w:r w:rsidR="00C93095" w:rsidRPr="007D6D9E">
              <w:rPr>
                <w:rFonts w:ascii="Verdana" w:hAnsi="Verdana"/>
                <w:sz w:val="22"/>
                <w:szCs w:val="22"/>
              </w:rPr>
              <w:t>52-week</w:t>
            </w:r>
            <w:r w:rsidRPr="007D6D9E">
              <w:rPr>
                <w:rFonts w:ascii="Verdana" w:hAnsi="Verdana"/>
                <w:sz w:val="22"/>
                <w:szCs w:val="22"/>
              </w:rPr>
              <w:t xml:space="preserve"> review, the FLS will handed over to Primary Care, for long term osteoporosis management. </w:t>
            </w:r>
          </w:p>
          <w:p w14:paraId="33F21C2A" w14:textId="77777777" w:rsidR="000F111B" w:rsidRPr="007D6D9E" w:rsidRDefault="000F111B" w:rsidP="000F111B">
            <w:pPr>
              <w:pStyle w:val="ListParagraph"/>
              <w:ind w:left="1440"/>
              <w:rPr>
                <w:rFonts w:ascii="Verdana" w:hAnsi="Verdana"/>
                <w:sz w:val="22"/>
                <w:szCs w:val="22"/>
              </w:rPr>
            </w:pPr>
          </w:p>
          <w:p w14:paraId="5310A7F3" w14:textId="77777777" w:rsidR="00277253" w:rsidRPr="007D6D9E" w:rsidRDefault="000F111B" w:rsidP="00CA68EC">
            <w:pPr>
              <w:pStyle w:val="ListParagraph"/>
              <w:numPr>
                <w:ilvl w:val="0"/>
                <w:numId w:val="5"/>
              </w:numPr>
              <w:spacing w:after="200"/>
              <w:contextualSpacing/>
              <w:rPr>
                <w:rFonts w:ascii="Verdana" w:hAnsi="Verdana"/>
                <w:sz w:val="22"/>
                <w:szCs w:val="22"/>
              </w:rPr>
            </w:pPr>
            <w:r w:rsidRPr="007D6D9E">
              <w:rPr>
                <w:rFonts w:ascii="Verdana" w:hAnsi="Verdana"/>
                <w:b/>
                <w:bCs/>
                <w:sz w:val="22"/>
                <w:szCs w:val="22"/>
              </w:rPr>
              <w:t>Integrate with wider healthcare system:</w:t>
            </w:r>
            <w:r w:rsidRPr="007D6D9E">
              <w:rPr>
                <w:rFonts w:ascii="Verdana" w:hAnsi="Verdana"/>
                <w:sz w:val="22"/>
                <w:szCs w:val="22"/>
              </w:rPr>
              <w:t xml:space="preserve"> </w:t>
            </w:r>
          </w:p>
          <w:p w14:paraId="0C8FE697" w14:textId="3F4100D1" w:rsidR="00157203" w:rsidRPr="007D6D9E" w:rsidRDefault="000F111B" w:rsidP="00277253">
            <w:pPr>
              <w:contextualSpacing/>
              <w:rPr>
                <w:rFonts w:ascii="Verdana" w:hAnsi="Verdana"/>
                <w:sz w:val="22"/>
                <w:szCs w:val="22"/>
              </w:rPr>
            </w:pPr>
            <w:r w:rsidRPr="007D6D9E">
              <w:rPr>
                <w:rFonts w:ascii="Verdana" w:hAnsi="Verdana"/>
                <w:sz w:val="22"/>
                <w:szCs w:val="22"/>
              </w:rPr>
              <w:t>The FLS will integrate</w:t>
            </w:r>
            <w:r w:rsidR="00277253" w:rsidRPr="007D6D9E">
              <w:rPr>
                <w:rFonts w:ascii="Verdana" w:hAnsi="Verdana"/>
                <w:sz w:val="22"/>
                <w:szCs w:val="22"/>
              </w:rPr>
              <w:t xml:space="preserve"> </w:t>
            </w:r>
            <w:r w:rsidRPr="007D6D9E">
              <w:rPr>
                <w:rFonts w:ascii="Verdana" w:hAnsi="Verdana"/>
                <w:sz w:val="22"/>
                <w:szCs w:val="22"/>
              </w:rPr>
              <w:t xml:space="preserve">with the wider healthcare system to facilitate an inclusive patient </w:t>
            </w:r>
            <w:r w:rsidR="00762378" w:rsidRPr="007D6D9E">
              <w:rPr>
                <w:rFonts w:ascii="Verdana" w:hAnsi="Verdana"/>
                <w:sz w:val="22"/>
                <w:szCs w:val="22"/>
              </w:rPr>
              <w:t>pathway,</w:t>
            </w:r>
            <w:r w:rsidRPr="007D6D9E">
              <w:rPr>
                <w:rFonts w:ascii="Verdana" w:hAnsi="Verdana"/>
                <w:sz w:val="22"/>
                <w:szCs w:val="22"/>
              </w:rPr>
              <w:t xml:space="preserve"> ensuring effective case-finding, onward referrals and </w:t>
            </w:r>
            <w:r w:rsidR="00C93095" w:rsidRPr="007D6D9E">
              <w:rPr>
                <w:rFonts w:ascii="Verdana" w:hAnsi="Verdana"/>
                <w:sz w:val="22"/>
                <w:szCs w:val="22"/>
              </w:rPr>
              <w:t>long-term</w:t>
            </w:r>
            <w:r w:rsidRPr="007D6D9E">
              <w:rPr>
                <w:rFonts w:ascii="Verdana" w:hAnsi="Verdana"/>
                <w:sz w:val="22"/>
                <w:szCs w:val="22"/>
              </w:rPr>
              <w:t xml:space="preserve"> management of </w:t>
            </w:r>
            <w:proofErr w:type="gramStart"/>
            <w:r w:rsidRPr="007D6D9E">
              <w:rPr>
                <w:rFonts w:ascii="Verdana" w:hAnsi="Verdana"/>
                <w:sz w:val="22"/>
                <w:szCs w:val="22"/>
              </w:rPr>
              <w:t>osteoporosis</w:t>
            </w:r>
            <w:proofErr w:type="gramEnd"/>
          </w:p>
          <w:p w14:paraId="70C76826" w14:textId="13DAFE60" w:rsidR="009D7F66" w:rsidRPr="007D6D9E" w:rsidRDefault="009D7F66" w:rsidP="00CA68EC">
            <w:pPr>
              <w:pStyle w:val="ListParagraph"/>
              <w:numPr>
                <w:ilvl w:val="0"/>
                <w:numId w:val="5"/>
              </w:numPr>
              <w:spacing w:after="120"/>
              <w:contextualSpacing/>
              <w:rPr>
                <w:rFonts w:ascii="Verdana" w:hAnsi="Verdana"/>
                <w:sz w:val="22"/>
                <w:szCs w:val="22"/>
              </w:rPr>
            </w:pPr>
            <w:r w:rsidRPr="007D6D9E">
              <w:rPr>
                <w:rFonts w:ascii="Verdana" w:hAnsi="Verdana"/>
                <w:b/>
                <w:bCs/>
                <w:sz w:val="22"/>
                <w:szCs w:val="22"/>
              </w:rPr>
              <w:t>5.1</w:t>
            </w:r>
            <w:r w:rsidRPr="007D6D9E">
              <w:rPr>
                <w:rFonts w:ascii="Verdana" w:hAnsi="Verdana"/>
                <w:sz w:val="22"/>
                <w:szCs w:val="22"/>
              </w:rPr>
              <w:t xml:space="preserve"> </w:t>
            </w:r>
            <w:r w:rsidR="000F111B" w:rsidRPr="007D6D9E">
              <w:rPr>
                <w:rFonts w:ascii="Verdana" w:hAnsi="Verdana"/>
                <w:sz w:val="22"/>
                <w:szCs w:val="22"/>
              </w:rPr>
              <w:t xml:space="preserve">Clear management plans will be produced and disseminated across organisational boundaries to facilitate integrated care. </w:t>
            </w:r>
          </w:p>
          <w:p w14:paraId="2D2505C7" w14:textId="77777777" w:rsidR="009D7F66" w:rsidRPr="007D6D9E" w:rsidRDefault="000F111B" w:rsidP="00CA68EC">
            <w:pPr>
              <w:pStyle w:val="ListParagraph"/>
              <w:numPr>
                <w:ilvl w:val="0"/>
                <w:numId w:val="5"/>
              </w:numPr>
              <w:spacing w:after="120"/>
              <w:contextualSpacing/>
              <w:rPr>
                <w:rFonts w:ascii="Verdana" w:hAnsi="Verdana"/>
                <w:sz w:val="22"/>
                <w:szCs w:val="22"/>
              </w:rPr>
            </w:pPr>
            <w:r w:rsidRPr="007D6D9E">
              <w:rPr>
                <w:rFonts w:ascii="Verdana" w:hAnsi="Verdana"/>
                <w:b/>
                <w:bCs/>
                <w:sz w:val="22"/>
                <w:szCs w:val="22"/>
              </w:rPr>
              <w:t>5.2</w:t>
            </w:r>
            <w:r w:rsidRPr="007D6D9E">
              <w:rPr>
                <w:rFonts w:ascii="Verdana" w:hAnsi="Verdana"/>
                <w:sz w:val="22"/>
                <w:szCs w:val="22"/>
              </w:rPr>
              <w:t xml:space="preserve"> Referral pathways between the FLS and other relevant services will be developed and implemented. </w:t>
            </w:r>
          </w:p>
          <w:p w14:paraId="7F5F7457" w14:textId="3BC91849" w:rsidR="00FB4E91" w:rsidRPr="007D6D9E" w:rsidRDefault="000F111B" w:rsidP="00CA68EC">
            <w:pPr>
              <w:pStyle w:val="ListParagraph"/>
              <w:numPr>
                <w:ilvl w:val="0"/>
                <w:numId w:val="5"/>
              </w:numPr>
              <w:spacing w:after="120"/>
              <w:contextualSpacing/>
              <w:rPr>
                <w:rFonts w:ascii="Verdana" w:hAnsi="Verdana"/>
                <w:sz w:val="22"/>
                <w:szCs w:val="22"/>
              </w:rPr>
            </w:pPr>
            <w:r w:rsidRPr="007D6D9E">
              <w:rPr>
                <w:rFonts w:ascii="Verdana" w:hAnsi="Verdana"/>
                <w:b/>
                <w:bCs/>
                <w:sz w:val="22"/>
                <w:szCs w:val="22"/>
              </w:rPr>
              <w:t>5.</w:t>
            </w:r>
            <w:r w:rsidR="009D7F66" w:rsidRPr="007D6D9E">
              <w:rPr>
                <w:rFonts w:ascii="Verdana" w:hAnsi="Verdana"/>
                <w:b/>
                <w:bCs/>
                <w:sz w:val="22"/>
                <w:szCs w:val="22"/>
              </w:rPr>
              <w:t>3</w:t>
            </w:r>
            <w:r w:rsidRPr="007D6D9E">
              <w:rPr>
                <w:rFonts w:ascii="Verdana" w:hAnsi="Verdana"/>
                <w:b/>
                <w:bCs/>
                <w:sz w:val="22"/>
                <w:szCs w:val="22"/>
              </w:rPr>
              <w:t xml:space="preserve"> </w:t>
            </w:r>
            <w:r w:rsidRPr="007D6D9E">
              <w:rPr>
                <w:rFonts w:ascii="Verdana" w:hAnsi="Verdana"/>
                <w:sz w:val="22"/>
                <w:szCs w:val="22"/>
              </w:rPr>
              <w:t>The FLS team will participate in</w:t>
            </w:r>
            <w:r w:rsidRPr="007D6D9E">
              <w:rPr>
                <w:rFonts w:ascii="Verdana" w:hAnsi="Verdana"/>
                <w:b/>
                <w:bCs/>
                <w:sz w:val="22"/>
                <w:szCs w:val="22"/>
              </w:rPr>
              <w:t xml:space="preserve"> </w:t>
            </w:r>
            <w:r w:rsidRPr="007D6D9E">
              <w:rPr>
                <w:rFonts w:ascii="Verdana" w:hAnsi="Verdana"/>
                <w:sz w:val="22"/>
                <w:szCs w:val="22"/>
              </w:rPr>
              <w:t>local multidisciplinary fracture prevention interest group which meets regularly to co-ordinate, plan and develop the FLS.</w:t>
            </w:r>
          </w:p>
          <w:p w14:paraId="2CB57180" w14:textId="77777777" w:rsidR="00C93095" w:rsidRPr="007D6D9E" w:rsidRDefault="00C93095" w:rsidP="00C93095">
            <w:pPr>
              <w:pStyle w:val="ListParagraph"/>
              <w:spacing w:after="120"/>
              <w:ind w:left="360"/>
              <w:contextualSpacing/>
              <w:rPr>
                <w:rFonts w:ascii="Verdana" w:hAnsi="Verdana"/>
                <w:sz w:val="22"/>
                <w:szCs w:val="22"/>
              </w:rPr>
            </w:pPr>
          </w:p>
          <w:p w14:paraId="3A9F53C8" w14:textId="77777777" w:rsidR="00A46A18" w:rsidRPr="007D6D9E" w:rsidRDefault="00A46A18" w:rsidP="00A46A18">
            <w:pPr>
              <w:pStyle w:val="ListParagraph"/>
              <w:spacing w:after="120"/>
              <w:ind w:left="360"/>
              <w:contextualSpacing/>
              <w:rPr>
                <w:rFonts w:ascii="Verdana" w:hAnsi="Verdana"/>
                <w:sz w:val="22"/>
                <w:szCs w:val="22"/>
              </w:rPr>
            </w:pPr>
          </w:p>
          <w:p w14:paraId="25FA405E" w14:textId="77777777" w:rsidR="000F111B" w:rsidRPr="007D6D9E" w:rsidRDefault="000F111B" w:rsidP="00CA68EC">
            <w:pPr>
              <w:pStyle w:val="ListParagraph"/>
              <w:numPr>
                <w:ilvl w:val="0"/>
                <w:numId w:val="5"/>
              </w:numPr>
              <w:spacing w:after="120"/>
              <w:contextualSpacing/>
              <w:rPr>
                <w:rFonts w:ascii="Verdana" w:hAnsi="Verdana" w:cstheme="minorBidi"/>
                <w:sz w:val="22"/>
                <w:szCs w:val="22"/>
              </w:rPr>
            </w:pPr>
            <w:r w:rsidRPr="007D6D9E">
              <w:rPr>
                <w:rFonts w:ascii="Verdana" w:hAnsi="Verdana"/>
                <w:b/>
                <w:bCs/>
                <w:sz w:val="22"/>
                <w:szCs w:val="22"/>
              </w:rPr>
              <w:lastRenderedPageBreak/>
              <w:t>Quality:</w:t>
            </w:r>
            <w:r w:rsidRPr="007D6D9E">
              <w:rPr>
                <w:rFonts w:ascii="Verdana" w:hAnsi="Verdana"/>
                <w:sz w:val="22"/>
                <w:szCs w:val="22"/>
              </w:rPr>
              <w:t xml:space="preserve"> </w:t>
            </w:r>
          </w:p>
          <w:p w14:paraId="0C842055" w14:textId="77777777" w:rsidR="000F111B" w:rsidRPr="007D6D9E" w:rsidRDefault="000F111B" w:rsidP="00CA68EC">
            <w:pPr>
              <w:pStyle w:val="ListParagraph"/>
              <w:numPr>
                <w:ilvl w:val="0"/>
                <w:numId w:val="5"/>
              </w:numPr>
              <w:spacing w:after="120"/>
              <w:contextualSpacing/>
              <w:rPr>
                <w:rFonts w:ascii="Verdana" w:hAnsi="Verdana" w:cstheme="minorBidi"/>
                <w:sz w:val="22"/>
                <w:szCs w:val="22"/>
              </w:rPr>
            </w:pPr>
            <w:r w:rsidRPr="007D6D9E">
              <w:rPr>
                <w:rFonts w:ascii="Verdana" w:hAnsi="Verdana"/>
                <w:b/>
                <w:bCs/>
                <w:sz w:val="22"/>
                <w:szCs w:val="22"/>
              </w:rPr>
              <w:t>6.1</w:t>
            </w:r>
            <w:r w:rsidRPr="007D6D9E">
              <w:rPr>
                <w:rFonts w:ascii="Verdana" w:hAnsi="Verdana"/>
                <w:sz w:val="22"/>
                <w:szCs w:val="22"/>
              </w:rPr>
              <w:t xml:space="preserve"> The FLS will have a designated lead clinician who is accountable for all components of the service. </w:t>
            </w:r>
          </w:p>
          <w:p w14:paraId="43D9099C" w14:textId="77777777" w:rsidR="000F111B" w:rsidRPr="007D6D9E" w:rsidRDefault="000F111B" w:rsidP="00CA68EC">
            <w:pPr>
              <w:pStyle w:val="ListParagraph"/>
              <w:numPr>
                <w:ilvl w:val="0"/>
                <w:numId w:val="5"/>
              </w:numPr>
              <w:spacing w:after="120"/>
              <w:contextualSpacing/>
              <w:rPr>
                <w:rFonts w:ascii="Verdana" w:hAnsi="Verdana" w:cstheme="minorBidi"/>
                <w:sz w:val="22"/>
                <w:szCs w:val="22"/>
              </w:rPr>
            </w:pPr>
            <w:r w:rsidRPr="007D6D9E">
              <w:rPr>
                <w:rFonts w:ascii="Verdana" w:hAnsi="Verdana"/>
                <w:b/>
                <w:bCs/>
                <w:sz w:val="22"/>
                <w:szCs w:val="22"/>
              </w:rPr>
              <w:t>6.2</w:t>
            </w:r>
            <w:r w:rsidRPr="007D6D9E">
              <w:rPr>
                <w:rFonts w:ascii="Verdana" w:hAnsi="Verdana"/>
                <w:sz w:val="22"/>
                <w:szCs w:val="22"/>
              </w:rPr>
              <w:t xml:space="preserve"> The FLS will have a quality assurance framework in place</w:t>
            </w:r>
          </w:p>
          <w:p w14:paraId="7852905E" w14:textId="77777777" w:rsidR="000F111B" w:rsidRPr="007D6D9E" w:rsidRDefault="000F111B" w:rsidP="00CA68EC">
            <w:pPr>
              <w:pStyle w:val="ListParagraph"/>
              <w:numPr>
                <w:ilvl w:val="0"/>
                <w:numId w:val="5"/>
              </w:numPr>
              <w:spacing w:after="120"/>
              <w:contextualSpacing/>
              <w:rPr>
                <w:rFonts w:ascii="Verdana" w:hAnsi="Verdana" w:cstheme="minorBidi"/>
                <w:sz w:val="22"/>
                <w:szCs w:val="22"/>
              </w:rPr>
            </w:pPr>
            <w:r w:rsidRPr="007D6D9E">
              <w:rPr>
                <w:rFonts w:ascii="Verdana" w:hAnsi="Verdana"/>
                <w:b/>
                <w:bCs/>
                <w:sz w:val="22"/>
                <w:szCs w:val="22"/>
              </w:rPr>
              <w:t>6.3</w:t>
            </w:r>
            <w:r w:rsidRPr="007D6D9E">
              <w:rPr>
                <w:rFonts w:ascii="Verdana" w:hAnsi="Verdana"/>
                <w:sz w:val="22"/>
                <w:szCs w:val="22"/>
              </w:rPr>
              <w:t xml:space="preserve"> The FLS will participate in national clinical audits such as the </w:t>
            </w:r>
            <w:hyperlink r:id="rId14" w:history="1">
              <w:r w:rsidRPr="007D6D9E">
                <w:rPr>
                  <w:rStyle w:val="Hyperlink"/>
                  <w:rFonts w:ascii="Verdana" w:hAnsi="Verdana"/>
                  <w:sz w:val="22"/>
                  <w:szCs w:val="22"/>
                </w:rPr>
                <w:t>Fracture Liaison Service Database</w:t>
              </w:r>
            </w:hyperlink>
            <w:r w:rsidRPr="007D6D9E">
              <w:rPr>
                <w:rFonts w:ascii="Verdana" w:hAnsi="Verdana"/>
                <w:color w:val="000000" w:themeColor="text1"/>
                <w:sz w:val="22"/>
                <w:szCs w:val="22"/>
              </w:rPr>
              <w:t xml:space="preserve"> </w:t>
            </w:r>
            <w:r w:rsidRPr="007D6D9E">
              <w:rPr>
                <w:rFonts w:ascii="Verdana" w:hAnsi="Verdana"/>
                <w:b/>
                <w:color w:val="000000" w:themeColor="text1"/>
                <w:sz w:val="22"/>
                <w:szCs w:val="22"/>
              </w:rPr>
              <w:t>[in England and Wales]</w:t>
            </w:r>
            <w:r w:rsidRPr="007D6D9E">
              <w:rPr>
                <w:rFonts w:ascii="Verdana" w:hAnsi="Verdana"/>
                <w:color w:val="000000" w:themeColor="text1"/>
                <w:sz w:val="22"/>
                <w:szCs w:val="22"/>
              </w:rPr>
              <w:t xml:space="preserve"> </w:t>
            </w:r>
            <w:r w:rsidRPr="007D6D9E">
              <w:rPr>
                <w:rFonts w:ascii="Verdana" w:hAnsi="Verdana" w:cs="Arial"/>
                <w:sz w:val="22"/>
                <w:szCs w:val="22"/>
              </w:rPr>
              <w:t xml:space="preserve">or the Hip Fracture Audit </w:t>
            </w:r>
            <w:r w:rsidRPr="007D6D9E">
              <w:rPr>
                <w:rFonts w:ascii="Verdana" w:hAnsi="Verdana" w:cs="Arial"/>
                <w:b/>
                <w:sz w:val="22"/>
                <w:szCs w:val="22"/>
              </w:rPr>
              <w:t>[in Scotland]</w:t>
            </w:r>
            <w:r w:rsidRPr="007D6D9E">
              <w:rPr>
                <w:rFonts w:ascii="Verdana" w:hAnsi="Verdana" w:cs="Arial"/>
                <w:sz w:val="22"/>
                <w:szCs w:val="22"/>
              </w:rPr>
              <w:t>.</w:t>
            </w:r>
          </w:p>
          <w:p w14:paraId="5C6B1D6D" w14:textId="448A3D7E" w:rsidR="000F111B" w:rsidRPr="007D6D9E" w:rsidRDefault="000F111B" w:rsidP="00CA68EC">
            <w:pPr>
              <w:pStyle w:val="ListParagraph"/>
              <w:numPr>
                <w:ilvl w:val="0"/>
                <w:numId w:val="5"/>
              </w:numPr>
              <w:spacing w:after="120"/>
              <w:contextualSpacing/>
              <w:jc w:val="both"/>
              <w:rPr>
                <w:rFonts w:ascii="Verdana" w:hAnsi="Verdana" w:cs="Arial"/>
                <w:sz w:val="22"/>
                <w:szCs w:val="22"/>
              </w:rPr>
            </w:pPr>
            <w:r w:rsidRPr="007D6D9E">
              <w:rPr>
                <w:rFonts w:ascii="Verdana" w:hAnsi="Verdana" w:cs="Arial"/>
                <w:b/>
                <w:bCs/>
                <w:sz w:val="22"/>
                <w:szCs w:val="22"/>
              </w:rPr>
              <w:t>6.4</w:t>
            </w:r>
            <w:r w:rsidRPr="007D6D9E">
              <w:rPr>
                <w:rFonts w:ascii="Verdana" w:hAnsi="Verdana" w:cs="Arial"/>
                <w:sz w:val="22"/>
                <w:szCs w:val="22"/>
              </w:rPr>
              <w:t xml:space="preserve"> </w:t>
            </w:r>
            <w:r w:rsidRPr="007D6D9E">
              <w:rPr>
                <w:rFonts w:ascii="Verdana" w:hAnsi="Verdana"/>
                <w:sz w:val="22"/>
                <w:szCs w:val="22"/>
              </w:rPr>
              <w:t xml:space="preserve">FLS will undertake and act upon feedback from annual surveys of patient experience and satisfaction, to facilitate on-going quality improvement.  </w:t>
            </w:r>
          </w:p>
          <w:p w14:paraId="48229B27" w14:textId="7A344169" w:rsidR="00AC2223" w:rsidRPr="007D6D9E" w:rsidRDefault="006347F8" w:rsidP="00AC2223">
            <w:pPr>
              <w:spacing w:after="120"/>
              <w:rPr>
                <w:rFonts w:ascii="Verdana" w:hAnsi="Verdana" w:cs="Arial"/>
                <w:b/>
                <w:color w:val="009966"/>
                <w:sz w:val="22"/>
                <w:szCs w:val="22"/>
                <w:lang w:val="en-GB"/>
              </w:rPr>
            </w:pPr>
            <w:r w:rsidRPr="007D6D9E">
              <w:rPr>
                <w:rFonts w:ascii="Verdana" w:hAnsi="Verdana" w:cs="Arial"/>
                <w:b/>
                <w:color w:val="009966"/>
                <w:sz w:val="22"/>
                <w:szCs w:val="22"/>
                <w:lang w:val="en-GB"/>
              </w:rPr>
              <w:t xml:space="preserve">The Outcomes of the FLS are shown in the National and Local </w:t>
            </w:r>
            <w:r w:rsidR="00AC2223" w:rsidRPr="007D6D9E">
              <w:rPr>
                <w:rFonts w:ascii="Verdana" w:hAnsi="Verdana" w:cs="Arial"/>
                <w:b/>
                <w:color w:val="009966"/>
                <w:sz w:val="22"/>
                <w:szCs w:val="22"/>
                <w:lang w:val="en-GB"/>
              </w:rPr>
              <w:t>Key Performance Indicators</w:t>
            </w:r>
            <w:r w:rsidR="00AC2223" w:rsidRPr="007D6D9E">
              <w:rPr>
                <w:rStyle w:val="EndnoteReference"/>
                <w:rFonts w:ascii="Verdana" w:hAnsi="Verdana" w:cs="Arial"/>
                <w:b/>
                <w:color w:val="009966"/>
                <w:sz w:val="22"/>
                <w:szCs w:val="22"/>
                <w:lang w:val="en-GB"/>
              </w:rPr>
              <w:endnoteReference w:id="34"/>
            </w:r>
            <w:r w:rsidR="00AC2223" w:rsidRPr="007D6D9E">
              <w:rPr>
                <w:rFonts w:ascii="Verdana" w:hAnsi="Verdana" w:cs="Arial"/>
                <w:b/>
                <w:color w:val="009966"/>
                <w:sz w:val="22"/>
                <w:szCs w:val="22"/>
                <w:lang w:val="en-GB"/>
              </w:rPr>
              <w:t xml:space="preserve">: </w:t>
            </w:r>
          </w:p>
          <w:p w14:paraId="72A6EFFF" w14:textId="46C69C44" w:rsidR="00AC2223" w:rsidRPr="007D6D9E" w:rsidRDefault="00AC2223" w:rsidP="00AC2223">
            <w:pPr>
              <w:autoSpaceDE w:val="0"/>
              <w:autoSpaceDN w:val="0"/>
              <w:adjustRightInd w:val="0"/>
              <w:spacing w:after="0"/>
              <w:jc w:val="both"/>
              <w:rPr>
                <w:rFonts w:ascii="Verdana" w:hAnsi="Verdana" w:cs="Arial"/>
                <w:sz w:val="22"/>
                <w:szCs w:val="22"/>
              </w:rPr>
            </w:pPr>
            <w:r w:rsidRPr="007D6D9E">
              <w:rPr>
                <w:rFonts w:ascii="Verdana" w:hAnsi="Verdana" w:cs="Arial"/>
                <w:sz w:val="22"/>
                <w:szCs w:val="22"/>
              </w:rPr>
              <w:t xml:space="preserve">A set of 11 KPIs were developed by the </w:t>
            </w:r>
            <w:hyperlink r:id="rId15" w:history="1">
              <w:r w:rsidRPr="007D6D9E">
                <w:rPr>
                  <w:rStyle w:val="Hyperlink"/>
                  <w:rFonts w:ascii="Verdana" w:hAnsi="Verdana" w:cs="Arial"/>
                  <w:sz w:val="22"/>
                  <w:szCs w:val="22"/>
                </w:rPr>
                <w:t>Fracture Liaison Service Database (FLS-DB)</w:t>
              </w:r>
            </w:hyperlink>
            <w:r w:rsidRPr="007D6D9E">
              <w:rPr>
                <w:rFonts w:ascii="Verdana" w:hAnsi="Verdana" w:cs="Arial"/>
                <w:sz w:val="22"/>
                <w:szCs w:val="22"/>
              </w:rPr>
              <w:t xml:space="preserve"> multidisciplinary advisory group, which includes patient representation. All the KPIs are based on NICE technology assessments and guidance on osteoporosis and the Royal Osteoporosis Society (ROS) clinical standards for FLSs. The FLS should aim to deliver these KPIs as part of their service</w:t>
            </w:r>
            <w:r w:rsidR="00FB36DE" w:rsidRPr="007D6D9E">
              <w:rPr>
                <w:rFonts w:ascii="Verdana" w:hAnsi="Verdana" w:cs="Arial"/>
                <w:sz w:val="22"/>
                <w:szCs w:val="22"/>
              </w:rPr>
              <w:t>:</w:t>
            </w:r>
          </w:p>
          <w:tbl>
            <w:tblPr>
              <w:tblStyle w:val="TableGrid"/>
              <w:tblW w:w="0" w:type="auto"/>
              <w:tblLook w:val="04A0" w:firstRow="1" w:lastRow="0" w:firstColumn="1" w:lastColumn="0" w:noHBand="0" w:noVBand="1"/>
            </w:tblPr>
            <w:tblGrid>
              <w:gridCol w:w="2676"/>
              <w:gridCol w:w="1209"/>
              <w:gridCol w:w="1065"/>
              <w:gridCol w:w="3732"/>
            </w:tblGrid>
            <w:tr w:rsidR="00037405" w:rsidRPr="007D6D9E" w14:paraId="0BD50A95" w14:textId="77777777" w:rsidTr="008837E8">
              <w:tc>
                <w:tcPr>
                  <w:tcW w:w="2790" w:type="dxa"/>
                </w:tcPr>
                <w:p w14:paraId="00F3227C" w14:textId="77777777" w:rsidR="00037405" w:rsidRPr="007D6D9E" w:rsidRDefault="00037405" w:rsidP="00037405">
                  <w:pPr>
                    <w:autoSpaceDE w:val="0"/>
                    <w:autoSpaceDN w:val="0"/>
                    <w:adjustRightInd w:val="0"/>
                    <w:spacing w:after="0"/>
                    <w:jc w:val="both"/>
                    <w:rPr>
                      <w:rFonts w:ascii="Verdana" w:hAnsi="Verdana" w:cs="Arial"/>
                      <w:b/>
                      <w:bCs/>
                      <w:sz w:val="22"/>
                      <w:szCs w:val="22"/>
                    </w:rPr>
                  </w:pPr>
                  <w:r w:rsidRPr="007D6D9E">
                    <w:rPr>
                      <w:rFonts w:ascii="Verdana" w:hAnsi="Verdana" w:cs="Arial"/>
                      <w:b/>
                      <w:bCs/>
                      <w:sz w:val="22"/>
                      <w:szCs w:val="22"/>
                    </w:rPr>
                    <w:t>Indicator</w:t>
                  </w:r>
                </w:p>
              </w:tc>
              <w:tc>
                <w:tcPr>
                  <w:tcW w:w="999" w:type="dxa"/>
                </w:tcPr>
                <w:p w14:paraId="0A7E8D2C" w14:textId="77777777" w:rsidR="00037405" w:rsidRPr="007D6D9E" w:rsidRDefault="00037405" w:rsidP="00037405">
                  <w:pPr>
                    <w:autoSpaceDE w:val="0"/>
                    <w:autoSpaceDN w:val="0"/>
                    <w:adjustRightInd w:val="0"/>
                    <w:spacing w:after="0"/>
                    <w:jc w:val="both"/>
                    <w:rPr>
                      <w:rFonts w:ascii="Verdana" w:hAnsi="Verdana" w:cs="Arial"/>
                      <w:b/>
                      <w:bCs/>
                      <w:sz w:val="22"/>
                      <w:szCs w:val="22"/>
                    </w:rPr>
                  </w:pPr>
                  <w:r w:rsidRPr="007D6D9E">
                    <w:rPr>
                      <w:rFonts w:ascii="Verdana" w:hAnsi="Verdana" w:cs="Arial"/>
                      <w:b/>
                      <w:bCs/>
                      <w:sz w:val="22"/>
                      <w:szCs w:val="22"/>
                    </w:rPr>
                    <w:t>Type</w:t>
                  </w:r>
                </w:p>
              </w:tc>
              <w:tc>
                <w:tcPr>
                  <w:tcW w:w="911" w:type="dxa"/>
                </w:tcPr>
                <w:p w14:paraId="33FA8536" w14:textId="77777777" w:rsidR="00037405" w:rsidRPr="007D6D9E" w:rsidRDefault="00037405" w:rsidP="00037405">
                  <w:pPr>
                    <w:autoSpaceDE w:val="0"/>
                    <w:autoSpaceDN w:val="0"/>
                    <w:adjustRightInd w:val="0"/>
                    <w:spacing w:after="0"/>
                    <w:jc w:val="both"/>
                    <w:rPr>
                      <w:rFonts w:ascii="Verdana" w:hAnsi="Verdana" w:cs="Arial"/>
                      <w:b/>
                      <w:bCs/>
                      <w:sz w:val="22"/>
                      <w:szCs w:val="22"/>
                    </w:rPr>
                  </w:pPr>
                  <w:r w:rsidRPr="007D6D9E">
                    <w:rPr>
                      <w:rFonts w:ascii="Verdana" w:hAnsi="Verdana" w:cs="Arial"/>
                      <w:b/>
                      <w:bCs/>
                      <w:sz w:val="22"/>
                      <w:szCs w:val="22"/>
                    </w:rPr>
                    <w:t>Source</w:t>
                  </w:r>
                </w:p>
              </w:tc>
              <w:tc>
                <w:tcPr>
                  <w:tcW w:w="3982" w:type="dxa"/>
                </w:tcPr>
                <w:p w14:paraId="2CD53EC0" w14:textId="77777777" w:rsidR="00037405" w:rsidRPr="007D6D9E" w:rsidRDefault="00037405" w:rsidP="00037405">
                  <w:pPr>
                    <w:autoSpaceDE w:val="0"/>
                    <w:autoSpaceDN w:val="0"/>
                    <w:adjustRightInd w:val="0"/>
                    <w:spacing w:after="0"/>
                    <w:jc w:val="both"/>
                    <w:rPr>
                      <w:rFonts w:ascii="Verdana" w:hAnsi="Verdana" w:cs="Arial"/>
                      <w:b/>
                      <w:bCs/>
                      <w:sz w:val="22"/>
                      <w:szCs w:val="22"/>
                    </w:rPr>
                  </w:pPr>
                  <w:r w:rsidRPr="007D6D9E">
                    <w:rPr>
                      <w:rFonts w:ascii="Verdana" w:hAnsi="Verdana" w:cs="Arial"/>
                      <w:b/>
                      <w:bCs/>
                      <w:sz w:val="22"/>
                      <w:szCs w:val="22"/>
                    </w:rPr>
                    <w:t>Description</w:t>
                  </w:r>
                </w:p>
              </w:tc>
            </w:tr>
            <w:tr w:rsidR="00037405" w:rsidRPr="007D6D9E" w14:paraId="48EB6E10" w14:textId="77777777" w:rsidTr="008837E8">
              <w:tc>
                <w:tcPr>
                  <w:tcW w:w="2790" w:type="dxa"/>
                  <w:vAlign w:val="center"/>
                </w:tcPr>
                <w:p w14:paraId="0703A227"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KPI 1 - Data completeness</w:t>
                  </w:r>
                </w:p>
              </w:tc>
              <w:tc>
                <w:tcPr>
                  <w:tcW w:w="999" w:type="dxa"/>
                  <w:vAlign w:val="center"/>
                </w:tcPr>
                <w:p w14:paraId="31706DD9"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Data quality</w:t>
                  </w:r>
                </w:p>
              </w:tc>
              <w:tc>
                <w:tcPr>
                  <w:tcW w:w="911" w:type="dxa"/>
                  <w:vAlign w:val="center"/>
                </w:tcPr>
                <w:p w14:paraId="4132FE74" w14:textId="77777777" w:rsidR="00037405" w:rsidRPr="007D6D9E" w:rsidRDefault="00037405" w:rsidP="00037405">
                  <w:pPr>
                    <w:autoSpaceDE w:val="0"/>
                    <w:autoSpaceDN w:val="0"/>
                    <w:adjustRightInd w:val="0"/>
                    <w:spacing w:after="0"/>
                    <w:jc w:val="center"/>
                    <w:rPr>
                      <w:rFonts w:ascii="Verdana" w:hAnsi="Verdana" w:cs="Arial"/>
                      <w:sz w:val="22"/>
                      <w:szCs w:val="22"/>
                    </w:rPr>
                  </w:pPr>
                  <w:r w:rsidRPr="007D6D9E">
                    <w:rPr>
                      <w:rFonts w:ascii="Verdana" w:hAnsi="Verdana" w:cs="Arial"/>
                      <w:sz w:val="22"/>
                      <w:szCs w:val="22"/>
                    </w:rPr>
                    <w:t>FLS-DB</w:t>
                  </w:r>
                </w:p>
              </w:tc>
              <w:tc>
                <w:tcPr>
                  <w:tcW w:w="3982" w:type="dxa"/>
                </w:tcPr>
                <w:p w14:paraId="5C587773"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Service with good level of data completeness - Defined as fewer than five fields with more than 20% of data missing</w:t>
                  </w:r>
                </w:p>
              </w:tc>
            </w:tr>
            <w:tr w:rsidR="00037405" w:rsidRPr="007D6D9E" w14:paraId="3CCA5583" w14:textId="77777777" w:rsidTr="008837E8">
              <w:tc>
                <w:tcPr>
                  <w:tcW w:w="2790" w:type="dxa"/>
                  <w:vAlign w:val="center"/>
                </w:tcPr>
                <w:p w14:paraId="0AEA3C40"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KPI 2 - Identification (all fragility fractures)</w:t>
                  </w:r>
                </w:p>
              </w:tc>
              <w:tc>
                <w:tcPr>
                  <w:tcW w:w="999" w:type="dxa"/>
                </w:tcPr>
                <w:p w14:paraId="57160DF5" w14:textId="77777777" w:rsidR="00037405" w:rsidRPr="007D6D9E" w:rsidRDefault="00037405" w:rsidP="00037405">
                  <w:pPr>
                    <w:autoSpaceDE w:val="0"/>
                    <w:autoSpaceDN w:val="0"/>
                    <w:adjustRightInd w:val="0"/>
                    <w:spacing w:after="0"/>
                    <w:jc w:val="both"/>
                    <w:rPr>
                      <w:rFonts w:ascii="Verdana" w:hAnsi="Verdana" w:cs="Arial"/>
                      <w:sz w:val="22"/>
                      <w:szCs w:val="22"/>
                    </w:rPr>
                  </w:pPr>
                  <w:r w:rsidRPr="007D6D9E">
                    <w:rPr>
                      <w:rFonts w:ascii="Verdana" w:hAnsi="Verdana" w:cs="Arial"/>
                      <w:sz w:val="22"/>
                      <w:szCs w:val="22"/>
                    </w:rPr>
                    <w:t>Clinical process measure</w:t>
                  </w:r>
                </w:p>
              </w:tc>
              <w:tc>
                <w:tcPr>
                  <w:tcW w:w="911" w:type="dxa"/>
                  <w:vAlign w:val="center"/>
                </w:tcPr>
                <w:p w14:paraId="04225E61" w14:textId="77777777" w:rsidR="00037405" w:rsidRPr="007D6D9E" w:rsidRDefault="00037405" w:rsidP="00037405">
                  <w:pPr>
                    <w:autoSpaceDE w:val="0"/>
                    <w:autoSpaceDN w:val="0"/>
                    <w:adjustRightInd w:val="0"/>
                    <w:spacing w:after="0"/>
                    <w:jc w:val="center"/>
                    <w:rPr>
                      <w:rFonts w:ascii="Verdana" w:hAnsi="Verdana" w:cs="Arial"/>
                      <w:sz w:val="22"/>
                      <w:szCs w:val="22"/>
                    </w:rPr>
                  </w:pPr>
                  <w:r w:rsidRPr="007D6D9E">
                    <w:rPr>
                      <w:rFonts w:ascii="Verdana" w:hAnsi="Verdana" w:cs="Arial"/>
                      <w:sz w:val="22"/>
                      <w:szCs w:val="22"/>
                    </w:rPr>
                    <w:t>FLS-DB</w:t>
                  </w:r>
                </w:p>
              </w:tc>
              <w:tc>
                <w:tcPr>
                  <w:tcW w:w="3982" w:type="dxa"/>
                </w:tcPr>
                <w:p w14:paraId="358B51B5"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Percentage of patient records submitted compared with the local estimated case load</w:t>
                  </w:r>
                </w:p>
              </w:tc>
            </w:tr>
            <w:tr w:rsidR="00037405" w:rsidRPr="007D6D9E" w14:paraId="2050F90F" w14:textId="77777777" w:rsidTr="008837E8">
              <w:tc>
                <w:tcPr>
                  <w:tcW w:w="2790" w:type="dxa"/>
                  <w:vAlign w:val="center"/>
                </w:tcPr>
                <w:p w14:paraId="393F4461"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KPI 3 – Identification (spinal fractures)</w:t>
                  </w:r>
                </w:p>
              </w:tc>
              <w:tc>
                <w:tcPr>
                  <w:tcW w:w="999" w:type="dxa"/>
                </w:tcPr>
                <w:p w14:paraId="4B2F0325" w14:textId="77777777" w:rsidR="00037405" w:rsidRPr="007D6D9E" w:rsidRDefault="00037405" w:rsidP="00037405">
                  <w:pPr>
                    <w:autoSpaceDE w:val="0"/>
                    <w:autoSpaceDN w:val="0"/>
                    <w:adjustRightInd w:val="0"/>
                    <w:spacing w:after="0"/>
                    <w:jc w:val="both"/>
                    <w:rPr>
                      <w:rFonts w:ascii="Verdana" w:hAnsi="Verdana" w:cs="Arial"/>
                      <w:sz w:val="22"/>
                      <w:szCs w:val="22"/>
                    </w:rPr>
                  </w:pPr>
                  <w:r w:rsidRPr="007D6D9E">
                    <w:rPr>
                      <w:rFonts w:ascii="Verdana" w:hAnsi="Verdana" w:cs="Arial"/>
                      <w:sz w:val="22"/>
                      <w:szCs w:val="22"/>
                    </w:rPr>
                    <w:t>Clinical process measure</w:t>
                  </w:r>
                </w:p>
              </w:tc>
              <w:tc>
                <w:tcPr>
                  <w:tcW w:w="911" w:type="dxa"/>
                  <w:vAlign w:val="center"/>
                </w:tcPr>
                <w:p w14:paraId="65988E56" w14:textId="77777777" w:rsidR="00037405" w:rsidRPr="007D6D9E" w:rsidRDefault="00037405" w:rsidP="00037405">
                  <w:pPr>
                    <w:autoSpaceDE w:val="0"/>
                    <w:autoSpaceDN w:val="0"/>
                    <w:adjustRightInd w:val="0"/>
                    <w:spacing w:after="0"/>
                    <w:jc w:val="center"/>
                    <w:rPr>
                      <w:rFonts w:ascii="Verdana" w:hAnsi="Verdana" w:cs="Arial"/>
                      <w:sz w:val="22"/>
                      <w:szCs w:val="22"/>
                    </w:rPr>
                  </w:pPr>
                  <w:r w:rsidRPr="007D6D9E">
                    <w:rPr>
                      <w:rFonts w:ascii="Verdana" w:hAnsi="Verdana" w:cs="Arial"/>
                      <w:sz w:val="22"/>
                      <w:szCs w:val="22"/>
                    </w:rPr>
                    <w:t>FLS-DB</w:t>
                  </w:r>
                </w:p>
              </w:tc>
              <w:tc>
                <w:tcPr>
                  <w:tcW w:w="3982" w:type="dxa"/>
                  <w:vAlign w:val="center"/>
                </w:tcPr>
                <w:p w14:paraId="289968AA"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Percentage of patients with a spine fracture as their index fracture site</w:t>
                  </w:r>
                </w:p>
              </w:tc>
            </w:tr>
            <w:tr w:rsidR="00037405" w:rsidRPr="007D6D9E" w14:paraId="138E61C8" w14:textId="77777777" w:rsidTr="008837E8">
              <w:tc>
                <w:tcPr>
                  <w:tcW w:w="2790" w:type="dxa"/>
                  <w:vAlign w:val="center"/>
                </w:tcPr>
                <w:p w14:paraId="5D6F69DF"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KPI 4 - Time to FLS assessment</w:t>
                  </w:r>
                </w:p>
              </w:tc>
              <w:tc>
                <w:tcPr>
                  <w:tcW w:w="999" w:type="dxa"/>
                </w:tcPr>
                <w:p w14:paraId="163D7D69" w14:textId="77777777" w:rsidR="00037405" w:rsidRPr="007D6D9E" w:rsidRDefault="00037405" w:rsidP="00037405">
                  <w:pPr>
                    <w:autoSpaceDE w:val="0"/>
                    <w:autoSpaceDN w:val="0"/>
                    <w:adjustRightInd w:val="0"/>
                    <w:spacing w:after="0"/>
                    <w:jc w:val="both"/>
                    <w:rPr>
                      <w:rFonts w:ascii="Verdana" w:hAnsi="Verdana" w:cs="Arial"/>
                      <w:sz w:val="22"/>
                      <w:szCs w:val="22"/>
                    </w:rPr>
                  </w:pPr>
                  <w:r w:rsidRPr="007D6D9E">
                    <w:rPr>
                      <w:rFonts w:ascii="Verdana" w:hAnsi="Verdana" w:cs="Arial"/>
                      <w:sz w:val="22"/>
                      <w:szCs w:val="22"/>
                    </w:rPr>
                    <w:t>Clinical process measure</w:t>
                  </w:r>
                </w:p>
              </w:tc>
              <w:tc>
                <w:tcPr>
                  <w:tcW w:w="911" w:type="dxa"/>
                  <w:vAlign w:val="center"/>
                </w:tcPr>
                <w:p w14:paraId="5000E01D" w14:textId="77777777" w:rsidR="00037405" w:rsidRPr="007D6D9E" w:rsidRDefault="00037405" w:rsidP="00037405">
                  <w:pPr>
                    <w:autoSpaceDE w:val="0"/>
                    <w:autoSpaceDN w:val="0"/>
                    <w:adjustRightInd w:val="0"/>
                    <w:spacing w:after="0"/>
                    <w:jc w:val="both"/>
                    <w:rPr>
                      <w:rFonts w:ascii="Verdana" w:hAnsi="Verdana" w:cs="Arial"/>
                      <w:sz w:val="22"/>
                      <w:szCs w:val="22"/>
                    </w:rPr>
                  </w:pPr>
                  <w:r w:rsidRPr="007D6D9E">
                    <w:rPr>
                      <w:rFonts w:ascii="Verdana" w:hAnsi="Verdana" w:cs="Arial"/>
                      <w:sz w:val="22"/>
                      <w:szCs w:val="22"/>
                    </w:rPr>
                    <w:t>FLS-DB</w:t>
                  </w:r>
                </w:p>
              </w:tc>
              <w:tc>
                <w:tcPr>
                  <w:tcW w:w="3982" w:type="dxa"/>
                </w:tcPr>
                <w:p w14:paraId="4CA29080"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Percentage of patients who were assessed by the FLS within 90 days of their fracture</w:t>
                  </w:r>
                </w:p>
              </w:tc>
            </w:tr>
            <w:tr w:rsidR="00037405" w:rsidRPr="007D6D9E" w14:paraId="457A8FD6" w14:textId="77777777" w:rsidTr="008837E8">
              <w:tc>
                <w:tcPr>
                  <w:tcW w:w="2790" w:type="dxa"/>
                  <w:vAlign w:val="center"/>
                </w:tcPr>
                <w:p w14:paraId="584A02FB"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KPI 5 - Time to DXA</w:t>
                  </w:r>
                </w:p>
              </w:tc>
              <w:tc>
                <w:tcPr>
                  <w:tcW w:w="999" w:type="dxa"/>
                </w:tcPr>
                <w:p w14:paraId="2A614268" w14:textId="77777777" w:rsidR="00037405" w:rsidRPr="007D6D9E" w:rsidRDefault="00037405" w:rsidP="00037405">
                  <w:pPr>
                    <w:autoSpaceDE w:val="0"/>
                    <w:autoSpaceDN w:val="0"/>
                    <w:adjustRightInd w:val="0"/>
                    <w:spacing w:after="0"/>
                    <w:jc w:val="both"/>
                    <w:rPr>
                      <w:rFonts w:ascii="Verdana" w:hAnsi="Verdana" w:cs="Arial"/>
                      <w:sz w:val="22"/>
                      <w:szCs w:val="22"/>
                    </w:rPr>
                  </w:pPr>
                  <w:r w:rsidRPr="007D6D9E">
                    <w:rPr>
                      <w:rFonts w:ascii="Verdana" w:hAnsi="Verdana" w:cs="Arial"/>
                      <w:sz w:val="22"/>
                      <w:szCs w:val="22"/>
                    </w:rPr>
                    <w:t>Clinical process measure</w:t>
                  </w:r>
                </w:p>
              </w:tc>
              <w:tc>
                <w:tcPr>
                  <w:tcW w:w="911" w:type="dxa"/>
                  <w:vAlign w:val="center"/>
                </w:tcPr>
                <w:p w14:paraId="703D66D8" w14:textId="77777777" w:rsidR="00037405" w:rsidRPr="007D6D9E" w:rsidRDefault="00037405" w:rsidP="00037405">
                  <w:pPr>
                    <w:autoSpaceDE w:val="0"/>
                    <w:autoSpaceDN w:val="0"/>
                    <w:adjustRightInd w:val="0"/>
                    <w:spacing w:after="0"/>
                    <w:jc w:val="both"/>
                    <w:rPr>
                      <w:rFonts w:ascii="Verdana" w:hAnsi="Verdana" w:cs="Arial"/>
                      <w:sz w:val="22"/>
                      <w:szCs w:val="22"/>
                    </w:rPr>
                  </w:pPr>
                  <w:r w:rsidRPr="007D6D9E">
                    <w:rPr>
                      <w:rFonts w:ascii="Verdana" w:hAnsi="Verdana" w:cs="Arial"/>
                      <w:sz w:val="22"/>
                      <w:szCs w:val="22"/>
                    </w:rPr>
                    <w:t>FLS-DB</w:t>
                  </w:r>
                </w:p>
              </w:tc>
              <w:tc>
                <w:tcPr>
                  <w:tcW w:w="3982" w:type="dxa"/>
                </w:tcPr>
                <w:p w14:paraId="7E9F6F37"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Percentage of patients who had a DXA ordered or recommended who were scanned within 90 days of fracture</w:t>
                  </w:r>
                </w:p>
              </w:tc>
            </w:tr>
            <w:tr w:rsidR="00037405" w:rsidRPr="007D6D9E" w14:paraId="3ED50492" w14:textId="77777777" w:rsidTr="008837E8">
              <w:tc>
                <w:tcPr>
                  <w:tcW w:w="2790" w:type="dxa"/>
                  <w:vAlign w:val="center"/>
                </w:tcPr>
                <w:p w14:paraId="09ECCC27"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KPI 6 - Falls assessment</w:t>
                  </w:r>
                </w:p>
              </w:tc>
              <w:tc>
                <w:tcPr>
                  <w:tcW w:w="999" w:type="dxa"/>
                </w:tcPr>
                <w:p w14:paraId="5C60AB9D" w14:textId="77777777" w:rsidR="00037405" w:rsidRPr="007D6D9E" w:rsidRDefault="00037405" w:rsidP="00037405">
                  <w:pPr>
                    <w:autoSpaceDE w:val="0"/>
                    <w:autoSpaceDN w:val="0"/>
                    <w:adjustRightInd w:val="0"/>
                    <w:spacing w:after="0"/>
                    <w:jc w:val="both"/>
                    <w:rPr>
                      <w:rFonts w:ascii="Verdana" w:hAnsi="Verdana" w:cs="Arial"/>
                      <w:sz w:val="22"/>
                      <w:szCs w:val="22"/>
                    </w:rPr>
                  </w:pPr>
                  <w:r w:rsidRPr="007D6D9E">
                    <w:rPr>
                      <w:rFonts w:ascii="Verdana" w:hAnsi="Verdana" w:cs="Arial"/>
                      <w:sz w:val="22"/>
                      <w:szCs w:val="22"/>
                    </w:rPr>
                    <w:t>Clinical process measure</w:t>
                  </w:r>
                </w:p>
              </w:tc>
              <w:tc>
                <w:tcPr>
                  <w:tcW w:w="911" w:type="dxa"/>
                  <w:vAlign w:val="center"/>
                </w:tcPr>
                <w:p w14:paraId="03A48FC3" w14:textId="77777777" w:rsidR="00037405" w:rsidRPr="007D6D9E" w:rsidRDefault="00037405" w:rsidP="00037405">
                  <w:pPr>
                    <w:autoSpaceDE w:val="0"/>
                    <w:autoSpaceDN w:val="0"/>
                    <w:adjustRightInd w:val="0"/>
                    <w:spacing w:after="0"/>
                    <w:jc w:val="both"/>
                    <w:rPr>
                      <w:rFonts w:ascii="Verdana" w:hAnsi="Verdana" w:cs="Arial"/>
                      <w:sz w:val="22"/>
                      <w:szCs w:val="22"/>
                    </w:rPr>
                  </w:pPr>
                  <w:r w:rsidRPr="007D6D9E">
                    <w:rPr>
                      <w:rFonts w:ascii="Verdana" w:hAnsi="Verdana" w:cs="Arial"/>
                      <w:sz w:val="22"/>
                      <w:szCs w:val="22"/>
                    </w:rPr>
                    <w:t>FLS-DB</w:t>
                  </w:r>
                </w:p>
              </w:tc>
              <w:tc>
                <w:tcPr>
                  <w:tcW w:w="3982" w:type="dxa"/>
                </w:tcPr>
                <w:p w14:paraId="5B2BEAA1"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 xml:space="preserve">Percentage of patients who received a falls assessment or were referred or recommended for a </w:t>
                  </w:r>
                  <w:proofErr w:type="gramStart"/>
                  <w:r w:rsidRPr="007D6D9E">
                    <w:rPr>
                      <w:rFonts w:ascii="Verdana" w:hAnsi="Verdana" w:cs="Arial"/>
                      <w:sz w:val="22"/>
                      <w:szCs w:val="22"/>
                    </w:rPr>
                    <w:t>falls</w:t>
                  </w:r>
                  <w:proofErr w:type="gramEnd"/>
                  <w:r w:rsidRPr="007D6D9E">
                    <w:rPr>
                      <w:rFonts w:ascii="Verdana" w:hAnsi="Verdana" w:cs="Arial"/>
                      <w:sz w:val="22"/>
                      <w:szCs w:val="22"/>
                    </w:rPr>
                    <w:t xml:space="preserve"> assessment</w:t>
                  </w:r>
                </w:p>
              </w:tc>
            </w:tr>
            <w:tr w:rsidR="00037405" w:rsidRPr="007D6D9E" w14:paraId="62DFFE7A" w14:textId="77777777" w:rsidTr="008837E8">
              <w:tc>
                <w:tcPr>
                  <w:tcW w:w="2790" w:type="dxa"/>
                  <w:vAlign w:val="center"/>
                </w:tcPr>
                <w:p w14:paraId="0D1D25F7"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KPI 7 - Bone sparing therapy recommended</w:t>
                  </w:r>
                </w:p>
              </w:tc>
              <w:tc>
                <w:tcPr>
                  <w:tcW w:w="999" w:type="dxa"/>
                  <w:vAlign w:val="center"/>
                </w:tcPr>
                <w:p w14:paraId="32462ECD"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Clinical process measure</w:t>
                  </w:r>
                </w:p>
              </w:tc>
              <w:tc>
                <w:tcPr>
                  <w:tcW w:w="911" w:type="dxa"/>
                  <w:vAlign w:val="center"/>
                </w:tcPr>
                <w:p w14:paraId="497E3F8B" w14:textId="77777777" w:rsidR="00037405" w:rsidRPr="007D6D9E" w:rsidRDefault="00037405" w:rsidP="00037405">
                  <w:pPr>
                    <w:autoSpaceDE w:val="0"/>
                    <w:autoSpaceDN w:val="0"/>
                    <w:adjustRightInd w:val="0"/>
                    <w:spacing w:after="0"/>
                    <w:jc w:val="both"/>
                    <w:rPr>
                      <w:rFonts w:ascii="Verdana" w:hAnsi="Verdana" w:cs="Arial"/>
                      <w:sz w:val="22"/>
                      <w:szCs w:val="22"/>
                    </w:rPr>
                  </w:pPr>
                  <w:r w:rsidRPr="007D6D9E">
                    <w:rPr>
                      <w:rFonts w:ascii="Verdana" w:hAnsi="Verdana" w:cs="Arial"/>
                      <w:sz w:val="22"/>
                      <w:szCs w:val="22"/>
                    </w:rPr>
                    <w:t>FLS-DB</w:t>
                  </w:r>
                </w:p>
              </w:tc>
              <w:tc>
                <w:tcPr>
                  <w:tcW w:w="3982" w:type="dxa"/>
                </w:tcPr>
                <w:p w14:paraId="0B58A5DE"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Percentage of patients who were recommended anti-osteoporosis medication</w:t>
                  </w:r>
                </w:p>
              </w:tc>
            </w:tr>
            <w:tr w:rsidR="00037405" w:rsidRPr="007D6D9E" w14:paraId="0372C3F8" w14:textId="77777777" w:rsidTr="008837E8">
              <w:tc>
                <w:tcPr>
                  <w:tcW w:w="2790" w:type="dxa"/>
                  <w:vAlign w:val="center"/>
                </w:tcPr>
                <w:p w14:paraId="46327D70"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KPI 8 - Strength and balance training</w:t>
                  </w:r>
                </w:p>
              </w:tc>
              <w:tc>
                <w:tcPr>
                  <w:tcW w:w="999" w:type="dxa"/>
                  <w:vAlign w:val="center"/>
                </w:tcPr>
                <w:p w14:paraId="1A0319D7"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Clinical process measure</w:t>
                  </w:r>
                </w:p>
              </w:tc>
              <w:tc>
                <w:tcPr>
                  <w:tcW w:w="911" w:type="dxa"/>
                  <w:vAlign w:val="center"/>
                </w:tcPr>
                <w:p w14:paraId="04031304" w14:textId="77777777" w:rsidR="00037405" w:rsidRPr="007D6D9E" w:rsidRDefault="00037405" w:rsidP="00037405">
                  <w:pPr>
                    <w:autoSpaceDE w:val="0"/>
                    <w:autoSpaceDN w:val="0"/>
                    <w:adjustRightInd w:val="0"/>
                    <w:spacing w:after="0"/>
                    <w:jc w:val="both"/>
                    <w:rPr>
                      <w:rFonts w:ascii="Verdana" w:hAnsi="Verdana" w:cs="Arial"/>
                      <w:sz w:val="22"/>
                      <w:szCs w:val="22"/>
                    </w:rPr>
                  </w:pPr>
                  <w:r w:rsidRPr="007D6D9E">
                    <w:rPr>
                      <w:rFonts w:ascii="Verdana" w:hAnsi="Verdana" w:cs="Arial"/>
                      <w:sz w:val="22"/>
                      <w:szCs w:val="22"/>
                    </w:rPr>
                    <w:t>FLS-DB</w:t>
                  </w:r>
                </w:p>
              </w:tc>
              <w:tc>
                <w:tcPr>
                  <w:tcW w:w="3982" w:type="dxa"/>
                </w:tcPr>
                <w:p w14:paraId="04FD45FE"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The percentage of non-hip fracture patients who had attended a strength and balance class within 16 weeks of their fracture</w:t>
                  </w:r>
                </w:p>
              </w:tc>
            </w:tr>
            <w:tr w:rsidR="00037405" w:rsidRPr="007D6D9E" w14:paraId="63ED5FB6" w14:textId="77777777" w:rsidTr="008837E8">
              <w:tc>
                <w:tcPr>
                  <w:tcW w:w="2790" w:type="dxa"/>
                  <w:vAlign w:val="center"/>
                </w:tcPr>
                <w:p w14:paraId="64D4B864"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lastRenderedPageBreak/>
                    <w:t>KPI 9 - Monitoring contact 12–16 weeks post fracture</w:t>
                  </w:r>
                </w:p>
              </w:tc>
              <w:tc>
                <w:tcPr>
                  <w:tcW w:w="999" w:type="dxa"/>
                  <w:vAlign w:val="center"/>
                </w:tcPr>
                <w:p w14:paraId="4FB2B01D"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Clinical process measure</w:t>
                  </w:r>
                </w:p>
              </w:tc>
              <w:tc>
                <w:tcPr>
                  <w:tcW w:w="911" w:type="dxa"/>
                  <w:vAlign w:val="center"/>
                </w:tcPr>
                <w:p w14:paraId="151B35EF" w14:textId="77777777" w:rsidR="00037405" w:rsidRPr="007D6D9E" w:rsidRDefault="00037405" w:rsidP="00037405">
                  <w:pPr>
                    <w:autoSpaceDE w:val="0"/>
                    <w:autoSpaceDN w:val="0"/>
                    <w:adjustRightInd w:val="0"/>
                    <w:spacing w:after="0"/>
                    <w:jc w:val="both"/>
                    <w:rPr>
                      <w:rFonts w:ascii="Verdana" w:hAnsi="Verdana" w:cs="Arial"/>
                      <w:sz w:val="22"/>
                      <w:szCs w:val="22"/>
                    </w:rPr>
                  </w:pPr>
                  <w:r w:rsidRPr="007D6D9E">
                    <w:rPr>
                      <w:rFonts w:ascii="Verdana" w:hAnsi="Verdana" w:cs="Arial"/>
                      <w:sz w:val="22"/>
                      <w:szCs w:val="22"/>
                    </w:rPr>
                    <w:t>FLS-DB</w:t>
                  </w:r>
                </w:p>
              </w:tc>
              <w:tc>
                <w:tcPr>
                  <w:tcW w:w="3982" w:type="dxa"/>
                </w:tcPr>
                <w:p w14:paraId="4FF0CCCB"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The percentage of eligible patients who were followed up between 12 and 16 weeks after their fracture</w:t>
                  </w:r>
                </w:p>
              </w:tc>
            </w:tr>
            <w:tr w:rsidR="00037405" w:rsidRPr="007D6D9E" w14:paraId="0BC0EC37" w14:textId="77777777" w:rsidTr="008837E8">
              <w:tc>
                <w:tcPr>
                  <w:tcW w:w="2790" w:type="dxa"/>
                  <w:vAlign w:val="center"/>
                </w:tcPr>
                <w:p w14:paraId="247DAC66"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KPI 10 - Commenced bone sparing therapy by first follow-up</w:t>
                  </w:r>
                </w:p>
              </w:tc>
              <w:tc>
                <w:tcPr>
                  <w:tcW w:w="999" w:type="dxa"/>
                  <w:vAlign w:val="center"/>
                </w:tcPr>
                <w:p w14:paraId="044B9262"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Outcome measure</w:t>
                  </w:r>
                </w:p>
              </w:tc>
              <w:tc>
                <w:tcPr>
                  <w:tcW w:w="911" w:type="dxa"/>
                  <w:vAlign w:val="center"/>
                </w:tcPr>
                <w:p w14:paraId="623B7E75" w14:textId="77777777" w:rsidR="00037405" w:rsidRPr="007D6D9E" w:rsidRDefault="00037405" w:rsidP="00037405">
                  <w:pPr>
                    <w:autoSpaceDE w:val="0"/>
                    <w:autoSpaceDN w:val="0"/>
                    <w:adjustRightInd w:val="0"/>
                    <w:spacing w:after="0"/>
                    <w:jc w:val="both"/>
                    <w:rPr>
                      <w:rFonts w:ascii="Verdana" w:hAnsi="Verdana" w:cs="Arial"/>
                      <w:sz w:val="22"/>
                      <w:szCs w:val="22"/>
                    </w:rPr>
                  </w:pPr>
                  <w:r w:rsidRPr="007D6D9E">
                    <w:rPr>
                      <w:rFonts w:ascii="Verdana" w:hAnsi="Verdana" w:cs="Arial"/>
                      <w:sz w:val="22"/>
                      <w:szCs w:val="22"/>
                    </w:rPr>
                    <w:t>FLS-DB</w:t>
                  </w:r>
                </w:p>
              </w:tc>
              <w:tc>
                <w:tcPr>
                  <w:tcW w:w="3982" w:type="dxa"/>
                </w:tcPr>
                <w:p w14:paraId="1F6F4BF0"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The percentage of patients who had commenced (or were continuing) anti-osteoporosis medication at time of first follow-up</w:t>
                  </w:r>
                </w:p>
              </w:tc>
            </w:tr>
            <w:tr w:rsidR="00037405" w:rsidRPr="007D6D9E" w14:paraId="07207A82" w14:textId="77777777" w:rsidTr="008837E8">
              <w:tc>
                <w:tcPr>
                  <w:tcW w:w="2790" w:type="dxa"/>
                  <w:vAlign w:val="center"/>
                </w:tcPr>
                <w:p w14:paraId="0332AC09"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KPI 11 - Adherence to prescribed anti-osteoporosis medication at 12 months post fracture</w:t>
                  </w:r>
                </w:p>
              </w:tc>
              <w:tc>
                <w:tcPr>
                  <w:tcW w:w="999" w:type="dxa"/>
                  <w:vAlign w:val="center"/>
                </w:tcPr>
                <w:p w14:paraId="49FE95A2"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Outcome measure</w:t>
                  </w:r>
                </w:p>
              </w:tc>
              <w:tc>
                <w:tcPr>
                  <w:tcW w:w="911" w:type="dxa"/>
                  <w:vAlign w:val="center"/>
                </w:tcPr>
                <w:p w14:paraId="46BF42D1" w14:textId="77777777" w:rsidR="00037405" w:rsidRPr="007D6D9E" w:rsidRDefault="00037405" w:rsidP="00037405">
                  <w:pPr>
                    <w:autoSpaceDE w:val="0"/>
                    <w:autoSpaceDN w:val="0"/>
                    <w:adjustRightInd w:val="0"/>
                    <w:spacing w:after="0"/>
                    <w:jc w:val="both"/>
                    <w:rPr>
                      <w:rFonts w:ascii="Verdana" w:hAnsi="Verdana" w:cs="Arial"/>
                      <w:sz w:val="22"/>
                      <w:szCs w:val="22"/>
                    </w:rPr>
                  </w:pPr>
                  <w:r w:rsidRPr="007D6D9E">
                    <w:rPr>
                      <w:rFonts w:ascii="Verdana" w:hAnsi="Verdana" w:cs="Arial"/>
                      <w:sz w:val="22"/>
                      <w:szCs w:val="22"/>
                    </w:rPr>
                    <w:t>FLS-DB</w:t>
                  </w:r>
                </w:p>
              </w:tc>
              <w:tc>
                <w:tcPr>
                  <w:tcW w:w="3982" w:type="dxa"/>
                </w:tcPr>
                <w:p w14:paraId="32732A09" w14:textId="77777777" w:rsidR="00037405" w:rsidRPr="007D6D9E" w:rsidRDefault="00037405" w:rsidP="00037405">
                  <w:pPr>
                    <w:autoSpaceDE w:val="0"/>
                    <w:autoSpaceDN w:val="0"/>
                    <w:adjustRightInd w:val="0"/>
                    <w:spacing w:after="0"/>
                    <w:rPr>
                      <w:rFonts w:ascii="Verdana" w:hAnsi="Verdana" w:cs="Arial"/>
                      <w:sz w:val="22"/>
                      <w:szCs w:val="22"/>
                    </w:rPr>
                  </w:pPr>
                  <w:r w:rsidRPr="007D6D9E">
                    <w:rPr>
                      <w:rFonts w:ascii="Verdana" w:hAnsi="Verdana" w:cs="Arial"/>
                      <w:sz w:val="22"/>
                      <w:szCs w:val="22"/>
                    </w:rPr>
                    <w:t>The percentage of patients who had confirmed adherence to a prescribed anti-osteoporosis medication at 12 months post fracture</w:t>
                  </w:r>
                </w:p>
              </w:tc>
            </w:tr>
          </w:tbl>
          <w:p w14:paraId="05ECE7BC" w14:textId="77777777" w:rsidR="00AC2223" w:rsidRPr="007D6D9E" w:rsidRDefault="00AC2223" w:rsidP="00AC2223">
            <w:pPr>
              <w:autoSpaceDE w:val="0"/>
              <w:autoSpaceDN w:val="0"/>
              <w:adjustRightInd w:val="0"/>
              <w:spacing w:after="0"/>
              <w:jc w:val="both"/>
              <w:rPr>
                <w:rFonts w:ascii="Verdana" w:hAnsi="Verdana" w:cs="Arial"/>
                <w:sz w:val="22"/>
                <w:szCs w:val="22"/>
              </w:rPr>
            </w:pPr>
          </w:p>
          <w:p w14:paraId="6C82C42D" w14:textId="2D27B2CE" w:rsidR="00AC2223" w:rsidRPr="007D6D9E" w:rsidRDefault="00AC2223" w:rsidP="00AC2223">
            <w:pPr>
              <w:autoSpaceDE w:val="0"/>
              <w:autoSpaceDN w:val="0"/>
              <w:adjustRightInd w:val="0"/>
              <w:spacing w:after="0"/>
              <w:jc w:val="both"/>
              <w:rPr>
                <w:rFonts w:ascii="Verdana" w:hAnsi="Verdana" w:cs="Arial"/>
                <w:b/>
                <w:sz w:val="22"/>
                <w:szCs w:val="22"/>
              </w:rPr>
            </w:pPr>
            <w:r w:rsidRPr="007D6D9E">
              <w:rPr>
                <w:rFonts w:ascii="Verdana" w:hAnsi="Verdana" w:cs="Arial"/>
                <w:b/>
                <w:sz w:val="22"/>
                <w:szCs w:val="22"/>
              </w:rPr>
              <w:t>[Please edit for any local</w:t>
            </w:r>
            <w:r w:rsidR="0014513C" w:rsidRPr="007D6D9E">
              <w:rPr>
                <w:rFonts w:ascii="Verdana" w:hAnsi="Verdana" w:cs="Arial"/>
                <w:b/>
                <w:sz w:val="22"/>
                <w:szCs w:val="22"/>
              </w:rPr>
              <w:t xml:space="preserve"> aim</w:t>
            </w:r>
            <w:r w:rsidR="003957FB" w:rsidRPr="007D6D9E">
              <w:rPr>
                <w:rFonts w:ascii="Verdana" w:hAnsi="Verdana" w:cs="Arial"/>
                <w:b/>
                <w:sz w:val="22"/>
                <w:szCs w:val="22"/>
              </w:rPr>
              <w:t xml:space="preserve">s, </w:t>
            </w:r>
            <w:r w:rsidR="0014513C" w:rsidRPr="007D6D9E">
              <w:rPr>
                <w:rFonts w:ascii="Verdana" w:hAnsi="Verdana" w:cs="Arial"/>
                <w:b/>
                <w:sz w:val="22"/>
                <w:szCs w:val="22"/>
              </w:rPr>
              <w:t>objectives and Outcomes/</w:t>
            </w:r>
            <w:r w:rsidRPr="007D6D9E">
              <w:rPr>
                <w:rFonts w:ascii="Verdana" w:hAnsi="Verdana" w:cs="Arial"/>
                <w:b/>
                <w:sz w:val="22"/>
                <w:szCs w:val="22"/>
              </w:rPr>
              <w:t>KPIs]</w:t>
            </w:r>
          </w:p>
          <w:p w14:paraId="5F4F2231" w14:textId="77777777" w:rsidR="008A21CF" w:rsidRDefault="008A21CF" w:rsidP="00707AED">
            <w:pPr>
              <w:spacing w:after="120"/>
              <w:jc w:val="both"/>
              <w:rPr>
                <w:rFonts w:ascii="Verdana" w:hAnsi="Verdana" w:cs="Arial"/>
                <w:b/>
                <w:color w:val="009966"/>
                <w:sz w:val="22"/>
                <w:szCs w:val="22"/>
                <w:lang w:val="en-GB"/>
              </w:rPr>
            </w:pPr>
          </w:p>
          <w:p w14:paraId="05766208" w14:textId="3A07FBAE" w:rsidR="00075A83" w:rsidRPr="007D6D9E" w:rsidRDefault="00F95D8E" w:rsidP="00707AED">
            <w:pPr>
              <w:spacing w:after="120"/>
              <w:jc w:val="both"/>
              <w:rPr>
                <w:rFonts w:ascii="Verdana" w:hAnsi="Verdana" w:cs="Arial"/>
                <w:b/>
                <w:color w:val="009966"/>
                <w:sz w:val="22"/>
                <w:szCs w:val="22"/>
                <w:lang w:val="en-GB"/>
              </w:rPr>
            </w:pPr>
            <w:r w:rsidRPr="007D6D9E">
              <w:rPr>
                <w:rFonts w:ascii="Verdana" w:hAnsi="Verdana" w:cs="Arial"/>
                <w:b/>
                <w:color w:val="009966"/>
                <w:sz w:val="22"/>
                <w:szCs w:val="22"/>
                <w:lang w:val="en-GB"/>
              </w:rPr>
              <w:t xml:space="preserve">3.2 </w:t>
            </w:r>
            <w:r w:rsidR="00075A83" w:rsidRPr="007D6D9E">
              <w:rPr>
                <w:rFonts w:ascii="Verdana" w:hAnsi="Verdana" w:cs="Arial"/>
                <w:b/>
                <w:color w:val="009966"/>
                <w:sz w:val="22"/>
                <w:szCs w:val="22"/>
                <w:lang w:val="en-GB"/>
              </w:rPr>
              <w:t>Service description/care pathway</w:t>
            </w:r>
          </w:p>
          <w:p w14:paraId="055D47BC" w14:textId="4267A9C9" w:rsidR="0055636D" w:rsidRPr="007D6D9E" w:rsidRDefault="00B73CB9" w:rsidP="00707AED">
            <w:pPr>
              <w:spacing w:after="120"/>
              <w:jc w:val="both"/>
              <w:rPr>
                <w:rFonts w:ascii="Verdana" w:hAnsi="Verdana" w:cs="Arial"/>
                <w:b/>
                <w:sz w:val="22"/>
                <w:szCs w:val="22"/>
                <w:lang w:val="en-GB"/>
              </w:rPr>
            </w:pPr>
            <w:r w:rsidRPr="007D6D9E">
              <w:rPr>
                <w:rFonts w:ascii="Verdana" w:hAnsi="Verdana" w:cs="Arial"/>
                <w:b/>
                <w:sz w:val="22"/>
                <w:szCs w:val="22"/>
                <w:lang w:val="en-GB"/>
              </w:rPr>
              <w:t>[It is important that this section edited to reflect the agreed local pathway</w:t>
            </w:r>
            <w:r w:rsidR="00322AEC" w:rsidRPr="007D6D9E">
              <w:rPr>
                <w:rFonts w:ascii="Verdana" w:hAnsi="Verdana" w:cs="Arial"/>
                <w:b/>
                <w:sz w:val="22"/>
                <w:szCs w:val="22"/>
                <w:lang w:val="en-GB"/>
              </w:rPr>
              <w:t>, please edit as appropriate]</w:t>
            </w:r>
          </w:p>
          <w:p w14:paraId="636C1689" w14:textId="7FFA69CF" w:rsidR="00F131A2" w:rsidRPr="007D6D9E" w:rsidRDefault="00F131A2" w:rsidP="00F131A2">
            <w:pPr>
              <w:pStyle w:val="MMCallout1"/>
              <w:numPr>
                <w:ilvl w:val="0"/>
                <w:numId w:val="0"/>
              </w:numPr>
              <w:spacing w:after="0" w:line="240" w:lineRule="auto"/>
              <w:rPr>
                <w:rFonts w:ascii="Verdana" w:hAnsi="Verdana" w:cs="Arial"/>
              </w:rPr>
            </w:pPr>
            <w:r w:rsidRPr="007D6D9E">
              <w:rPr>
                <w:rFonts w:ascii="Verdana" w:hAnsi="Verdana" w:cs="Arial"/>
              </w:rPr>
              <w:t xml:space="preserve">The service will employ the 5IQ approach outlined in the Royal Osteoporosis Society’s </w:t>
            </w:r>
            <w:r w:rsidRPr="00574D09">
              <w:rPr>
                <w:rFonts w:ascii="Verdana" w:hAnsi="Verdana" w:cs="Arial"/>
              </w:rPr>
              <w:t>Clinical Standards for Fracture Liaison Services (2019)</w:t>
            </w:r>
            <w:r w:rsidRPr="007D6D9E">
              <w:rPr>
                <w:rFonts w:ascii="Verdana" w:hAnsi="Verdana" w:cs="Arial"/>
              </w:rPr>
              <w:t>.</w:t>
            </w:r>
            <w:r w:rsidR="003A103F" w:rsidRPr="007D6D9E">
              <w:rPr>
                <w:rFonts w:ascii="Verdana" w:hAnsi="Verdana" w:cs="Arial"/>
              </w:rPr>
              <w:t xml:space="preserve"> </w:t>
            </w:r>
            <w:r w:rsidRPr="007D6D9E">
              <w:rPr>
                <w:rFonts w:ascii="Verdana" w:hAnsi="Verdana" w:cs="Arial"/>
              </w:rPr>
              <w:t xml:space="preserve">This will </w:t>
            </w:r>
            <w:r w:rsidR="00574D09" w:rsidRPr="007D6D9E">
              <w:rPr>
                <w:rFonts w:ascii="Verdana" w:hAnsi="Verdana" w:cs="Arial"/>
              </w:rPr>
              <w:t>include</w:t>
            </w:r>
            <w:r w:rsidRPr="007D6D9E">
              <w:rPr>
                <w:rFonts w:ascii="Verdana" w:hAnsi="Verdana" w:cs="Arial"/>
              </w:rPr>
              <w:t xml:space="preserve"> </w:t>
            </w:r>
            <w:r w:rsidRPr="007D6D9E">
              <w:rPr>
                <w:rFonts w:ascii="Verdana" w:hAnsi="Verdana" w:cs="Arial"/>
                <w:b/>
                <w:bCs/>
              </w:rPr>
              <w:t>identification</w:t>
            </w:r>
            <w:r w:rsidRPr="007D6D9E">
              <w:rPr>
                <w:rFonts w:ascii="Verdana" w:hAnsi="Verdana" w:cs="Arial"/>
              </w:rPr>
              <w:t xml:space="preserve">; </w:t>
            </w:r>
            <w:r w:rsidRPr="007D6D9E">
              <w:rPr>
                <w:rFonts w:ascii="Verdana" w:hAnsi="Verdana" w:cs="Arial"/>
                <w:b/>
                <w:bCs/>
              </w:rPr>
              <w:t>investigation</w:t>
            </w:r>
            <w:r w:rsidRPr="007D6D9E">
              <w:rPr>
                <w:rFonts w:ascii="Verdana" w:hAnsi="Verdana" w:cs="Arial"/>
              </w:rPr>
              <w:t xml:space="preserve">; </w:t>
            </w:r>
            <w:r w:rsidRPr="007D6D9E">
              <w:rPr>
                <w:rFonts w:ascii="Verdana" w:hAnsi="Verdana" w:cs="Arial"/>
                <w:b/>
                <w:bCs/>
              </w:rPr>
              <w:t>information</w:t>
            </w:r>
            <w:r w:rsidRPr="007D6D9E">
              <w:rPr>
                <w:rFonts w:ascii="Verdana" w:hAnsi="Verdana" w:cs="Arial"/>
              </w:rPr>
              <w:t xml:space="preserve">; (where appropriate) </w:t>
            </w:r>
            <w:r w:rsidRPr="007D6D9E">
              <w:rPr>
                <w:rFonts w:ascii="Verdana" w:hAnsi="Verdana" w:cs="Arial"/>
                <w:b/>
                <w:bCs/>
              </w:rPr>
              <w:t>initiation</w:t>
            </w:r>
            <w:r w:rsidRPr="007D6D9E">
              <w:rPr>
                <w:rFonts w:ascii="Verdana" w:hAnsi="Verdana" w:cs="Arial"/>
              </w:rPr>
              <w:t xml:space="preserve"> (of treatment) and </w:t>
            </w:r>
            <w:r w:rsidRPr="007D6D9E">
              <w:rPr>
                <w:rFonts w:ascii="Verdana" w:hAnsi="Verdana" w:cs="Arial"/>
                <w:b/>
                <w:bCs/>
              </w:rPr>
              <w:t xml:space="preserve">integration </w:t>
            </w:r>
            <w:r w:rsidRPr="007D6D9E">
              <w:rPr>
                <w:rFonts w:ascii="Verdana" w:hAnsi="Verdana" w:cs="Arial"/>
              </w:rPr>
              <w:t>– facilitating</w:t>
            </w:r>
            <w:r w:rsidRPr="007D6D9E">
              <w:rPr>
                <w:rFonts w:ascii="Verdana" w:hAnsi="Verdana" w:cs="Arial"/>
                <w:b/>
                <w:bCs/>
              </w:rPr>
              <w:t xml:space="preserve"> </w:t>
            </w:r>
            <w:r w:rsidRPr="007D6D9E">
              <w:rPr>
                <w:rFonts w:ascii="Verdana" w:hAnsi="Verdana" w:cs="Arial"/>
              </w:rPr>
              <w:t xml:space="preserve">coordination between acute, community and primary health care providers to ensure a seamless pathway of care for the patient.  </w:t>
            </w:r>
            <w:r w:rsidR="003A103F" w:rsidRPr="007D6D9E">
              <w:rPr>
                <w:rFonts w:ascii="Verdana" w:hAnsi="Verdana" w:cs="Arial"/>
                <w:lang w:val="en-US"/>
              </w:rPr>
              <w:t xml:space="preserve">There will be a designated lead clinician is accountable for all components of the service. </w:t>
            </w:r>
            <w:r w:rsidR="003A103F" w:rsidRPr="007D6D9E">
              <w:rPr>
                <w:rFonts w:ascii="Verdana" w:hAnsi="Verdana" w:cs="Arial"/>
              </w:rPr>
              <w:t xml:space="preserve">The service will promote coordination between both in-hospital (e.g. acute) and out-of-hospital (e.g. community, primary care) health settings; to ensure that care is seamless and consistent and be in line with the </w:t>
            </w:r>
            <w:r w:rsidR="003A103F" w:rsidRPr="009875A3">
              <w:rPr>
                <w:rFonts w:ascii="Verdana" w:hAnsi="Verdana"/>
              </w:rPr>
              <w:t>Royal Osteoporosis Service Clinical Standards for FLS</w:t>
            </w:r>
            <w:r w:rsidR="003A103F" w:rsidRPr="007D6D9E">
              <w:rPr>
                <w:rFonts w:ascii="Verdana" w:hAnsi="Verdana" w:cs="Arial"/>
              </w:rPr>
              <w:t>.</w:t>
            </w:r>
          </w:p>
          <w:p w14:paraId="44A97470" w14:textId="77777777" w:rsidR="00F131A2" w:rsidRPr="007D6D9E" w:rsidRDefault="00F131A2" w:rsidP="00F131A2">
            <w:pPr>
              <w:pStyle w:val="MMCallout1"/>
              <w:numPr>
                <w:ilvl w:val="0"/>
                <w:numId w:val="0"/>
              </w:numPr>
              <w:spacing w:after="0" w:line="240" w:lineRule="auto"/>
              <w:jc w:val="left"/>
              <w:rPr>
                <w:rFonts w:ascii="Verdana" w:hAnsi="Verdana" w:cs="Arial"/>
              </w:rPr>
            </w:pPr>
          </w:p>
          <w:p w14:paraId="0D5C47BF" w14:textId="7F83F313" w:rsidR="00067760" w:rsidRPr="007D6D9E" w:rsidRDefault="00F131A2" w:rsidP="007512A6">
            <w:pPr>
              <w:pStyle w:val="MMCallout1"/>
              <w:numPr>
                <w:ilvl w:val="0"/>
                <w:numId w:val="0"/>
              </w:numPr>
              <w:spacing w:after="0" w:line="240" w:lineRule="auto"/>
              <w:rPr>
                <w:rFonts w:ascii="Verdana" w:hAnsi="Verdana" w:cs="Arial"/>
                <w:b/>
              </w:rPr>
            </w:pPr>
            <w:r w:rsidRPr="007D6D9E">
              <w:rPr>
                <w:rFonts w:ascii="Verdana" w:hAnsi="Verdana" w:cs="Arial"/>
                <w:b/>
                <w:bCs/>
              </w:rPr>
              <w:t>Standard 1:</w:t>
            </w:r>
            <w:r w:rsidRPr="007D6D9E">
              <w:rPr>
                <w:rFonts w:ascii="Verdana" w:hAnsi="Verdana" w:cs="Arial"/>
              </w:rPr>
              <w:t xml:space="preserve"> </w:t>
            </w:r>
            <w:r w:rsidRPr="007D6D9E">
              <w:rPr>
                <w:rFonts w:ascii="Verdana" w:hAnsi="Verdana" w:cs="Arial"/>
                <w:b/>
                <w:bCs/>
              </w:rPr>
              <w:t xml:space="preserve">Identification  </w:t>
            </w:r>
          </w:p>
          <w:p w14:paraId="0CF2C687" w14:textId="0A8CE9F4" w:rsidR="005332E7" w:rsidRPr="007D6D9E" w:rsidRDefault="00BB183D" w:rsidP="00707AED">
            <w:pPr>
              <w:spacing w:after="120"/>
              <w:jc w:val="both"/>
              <w:rPr>
                <w:rFonts w:ascii="Verdana" w:hAnsi="Verdana"/>
                <w:color w:val="000000" w:themeColor="text1"/>
                <w:sz w:val="22"/>
                <w:szCs w:val="22"/>
              </w:rPr>
            </w:pPr>
            <w:r w:rsidRPr="007D6D9E">
              <w:rPr>
                <w:rFonts w:ascii="Verdana" w:hAnsi="Verdana"/>
                <w:sz w:val="22"/>
                <w:szCs w:val="22"/>
              </w:rPr>
              <w:t>The service will systematically case find relevant patients</w:t>
            </w:r>
            <w:r w:rsidR="00831A73" w:rsidRPr="007D6D9E">
              <w:rPr>
                <w:rFonts w:ascii="Verdana" w:hAnsi="Verdana"/>
                <w:sz w:val="22"/>
                <w:szCs w:val="22"/>
              </w:rPr>
              <w:t xml:space="preserve">, </w:t>
            </w:r>
            <w:r w:rsidR="009C2424" w:rsidRPr="007D6D9E">
              <w:rPr>
                <w:rFonts w:ascii="Verdana" w:hAnsi="Verdana"/>
                <w:sz w:val="22"/>
                <w:szCs w:val="22"/>
              </w:rPr>
              <w:t xml:space="preserve">those </w:t>
            </w:r>
            <w:r w:rsidR="00806C36" w:rsidRPr="007D6D9E">
              <w:rPr>
                <w:rFonts w:ascii="Verdana" w:hAnsi="Verdana"/>
                <w:sz w:val="22"/>
                <w:szCs w:val="22"/>
              </w:rPr>
              <w:t>aged 50 years</w:t>
            </w:r>
            <w:r w:rsidR="00831A73" w:rsidRPr="007D6D9E">
              <w:rPr>
                <w:rFonts w:ascii="Verdana" w:hAnsi="Verdana"/>
                <w:sz w:val="22"/>
                <w:szCs w:val="22"/>
              </w:rPr>
              <w:t xml:space="preserve"> and over, who meet </w:t>
            </w:r>
            <w:r w:rsidR="00270951" w:rsidRPr="007D6D9E">
              <w:rPr>
                <w:rFonts w:ascii="Verdana" w:hAnsi="Verdana"/>
                <w:sz w:val="22"/>
                <w:szCs w:val="22"/>
              </w:rPr>
              <w:t xml:space="preserve">any of </w:t>
            </w:r>
            <w:r w:rsidR="00831A73" w:rsidRPr="007D6D9E">
              <w:rPr>
                <w:rFonts w:ascii="Verdana" w:hAnsi="Verdana"/>
                <w:sz w:val="22"/>
                <w:szCs w:val="22"/>
              </w:rPr>
              <w:t xml:space="preserve">the following criteria: </w:t>
            </w:r>
          </w:p>
          <w:p w14:paraId="4BA1780A" w14:textId="5DE0D3B8" w:rsidR="009D6748" w:rsidRPr="007D6D9E" w:rsidRDefault="009D6748" w:rsidP="00CA68EC">
            <w:pPr>
              <w:pStyle w:val="MMCallout1"/>
              <w:numPr>
                <w:ilvl w:val="0"/>
                <w:numId w:val="5"/>
              </w:numPr>
              <w:spacing w:after="0" w:line="240" w:lineRule="auto"/>
              <w:rPr>
                <w:rFonts w:ascii="Verdana" w:hAnsi="Verdana"/>
              </w:rPr>
            </w:pPr>
            <w:r w:rsidRPr="007D6D9E">
              <w:rPr>
                <w:rFonts w:ascii="Verdana" w:hAnsi="Verdana"/>
              </w:rPr>
              <w:t xml:space="preserve">Patients presenting acutely </w:t>
            </w:r>
            <w:r w:rsidR="002E156E" w:rsidRPr="007D6D9E">
              <w:rPr>
                <w:rFonts w:ascii="Verdana" w:hAnsi="Verdana"/>
              </w:rPr>
              <w:t xml:space="preserve">with a fracture </w:t>
            </w:r>
            <w:r w:rsidRPr="007D6D9E">
              <w:rPr>
                <w:rFonts w:ascii="Verdana" w:hAnsi="Verdana"/>
              </w:rPr>
              <w:t>(requiring admission) and being managed in an in-patient setting</w:t>
            </w:r>
          </w:p>
          <w:p w14:paraId="0C86EA35" w14:textId="678EB26C" w:rsidR="009D6748" w:rsidRPr="007D6D9E" w:rsidRDefault="009D6748" w:rsidP="00CA68EC">
            <w:pPr>
              <w:pStyle w:val="MMCallout1"/>
              <w:numPr>
                <w:ilvl w:val="0"/>
                <w:numId w:val="5"/>
              </w:numPr>
              <w:spacing w:after="0" w:line="240" w:lineRule="auto"/>
              <w:rPr>
                <w:rFonts w:ascii="Verdana" w:hAnsi="Verdana"/>
              </w:rPr>
            </w:pPr>
            <w:r w:rsidRPr="007D6D9E">
              <w:rPr>
                <w:rFonts w:ascii="Verdana" w:hAnsi="Verdana"/>
              </w:rPr>
              <w:t>Patients presenting acutely</w:t>
            </w:r>
            <w:r w:rsidR="002E156E" w:rsidRPr="007D6D9E">
              <w:rPr>
                <w:rFonts w:ascii="Verdana" w:hAnsi="Verdana"/>
              </w:rPr>
              <w:t xml:space="preserve"> with a fracture</w:t>
            </w:r>
            <w:r w:rsidRPr="007D6D9E">
              <w:rPr>
                <w:rFonts w:ascii="Verdana" w:hAnsi="Verdana"/>
              </w:rPr>
              <w:t xml:space="preserve"> (not requiring admission) and being managed in an out-patient setting</w:t>
            </w:r>
          </w:p>
          <w:p w14:paraId="2ED3AD2D" w14:textId="77777777" w:rsidR="009D6748" w:rsidRPr="007D6D9E" w:rsidRDefault="009D6748" w:rsidP="00CA68EC">
            <w:pPr>
              <w:pStyle w:val="ListParagraph"/>
              <w:numPr>
                <w:ilvl w:val="0"/>
                <w:numId w:val="5"/>
              </w:numPr>
              <w:jc w:val="both"/>
              <w:rPr>
                <w:rStyle w:val="GridTable1Light1"/>
                <w:rFonts w:ascii="Verdana" w:eastAsia="Calibri" w:hAnsi="Verdana" w:cs="Arial"/>
                <w:sz w:val="22"/>
                <w:szCs w:val="22"/>
              </w:rPr>
            </w:pPr>
            <w:r w:rsidRPr="007D6D9E">
              <w:rPr>
                <w:rFonts w:ascii="Verdana" w:hAnsi="Verdana" w:cs="Arial"/>
                <w:sz w:val="22"/>
                <w:szCs w:val="22"/>
              </w:rPr>
              <w:t xml:space="preserve">Newly identified vertebral fractures (whether identified opportunistically as an incidental finding on imaging, or anticipated based on clinical signs and symptoms)  </w:t>
            </w:r>
          </w:p>
          <w:p w14:paraId="09A75A7D" w14:textId="77777777" w:rsidR="009D6748" w:rsidRPr="007D6D9E" w:rsidRDefault="009D6748" w:rsidP="00CA68EC">
            <w:pPr>
              <w:pStyle w:val="ListParagraph"/>
              <w:numPr>
                <w:ilvl w:val="0"/>
                <w:numId w:val="5"/>
              </w:numPr>
              <w:jc w:val="both"/>
              <w:rPr>
                <w:rFonts w:ascii="Verdana" w:hAnsi="Verdana"/>
                <w:sz w:val="22"/>
                <w:szCs w:val="22"/>
              </w:rPr>
            </w:pPr>
            <w:r w:rsidRPr="007D6D9E">
              <w:rPr>
                <w:rFonts w:ascii="Verdana" w:hAnsi="Verdana"/>
                <w:sz w:val="22"/>
                <w:szCs w:val="22"/>
              </w:rPr>
              <w:t>New fractures occurring in those already on bone sparing treatment</w:t>
            </w:r>
          </w:p>
          <w:p w14:paraId="7447174B" w14:textId="77777777" w:rsidR="009D6748" w:rsidRPr="007D6D9E" w:rsidRDefault="009D6748" w:rsidP="00CA68EC">
            <w:pPr>
              <w:pStyle w:val="ListParagraph"/>
              <w:numPr>
                <w:ilvl w:val="0"/>
                <w:numId w:val="5"/>
              </w:numPr>
              <w:jc w:val="both"/>
              <w:rPr>
                <w:rStyle w:val="GridTable1Light1"/>
                <w:rFonts w:ascii="Verdana" w:eastAsia="Calibri" w:hAnsi="Verdana"/>
                <w:sz w:val="22"/>
                <w:szCs w:val="22"/>
              </w:rPr>
            </w:pPr>
            <w:r w:rsidRPr="007D6D9E">
              <w:rPr>
                <w:rStyle w:val="GridTable1Light1"/>
                <w:rFonts w:ascii="Verdana" w:eastAsia="Calibri" w:hAnsi="Verdana"/>
                <w:sz w:val="22"/>
                <w:szCs w:val="22"/>
              </w:rPr>
              <w:t xml:space="preserve">New fractures occurring as a result of a fall during a hospital </w:t>
            </w:r>
            <w:proofErr w:type="gramStart"/>
            <w:r w:rsidRPr="007D6D9E">
              <w:rPr>
                <w:rStyle w:val="GridTable1Light1"/>
                <w:rFonts w:ascii="Verdana" w:eastAsia="Calibri" w:hAnsi="Verdana"/>
                <w:sz w:val="22"/>
                <w:szCs w:val="22"/>
              </w:rPr>
              <w:t>stay</w:t>
            </w:r>
            <w:proofErr w:type="gramEnd"/>
            <w:r w:rsidRPr="007D6D9E">
              <w:rPr>
                <w:rStyle w:val="GridTable1Light1"/>
                <w:rFonts w:ascii="Verdana" w:eastAsia="Calibri" w:hAnsi="Verdana"/>
                <w:sz w:val="22"/>
                <w:szCs w:val="22"/>
              </w:rPr>
              <w:t xml:space="preserve"> </w:t>
            </w:r>
          </w:p>
          <w:p w14:paraId="665586B0" w14:textId="5D130ED0" w:rsidR="009D6748" w:rsidRPr="007D6D9E" w:rsidRDefault="009D6748" w:rsidP="00CA68EC">
            <w:pPr>
              <w:pStyle w:val="ListParagraph"/>
              <w:numPr>
                <w:ilvl w:val="0"/>
                <w:numId w:val="5"/>
              </w:numPr>
              <w:jc w:val="both"/>
              <w:rPr>
                <w:rStyle w:val="GridTable1Light1"/>
                <w:rFonts w:ascii="Verdana" w:hAnsi="Verdana"/>
                <w:sz w:val="22"/>
                <w:szCs w:val="22"/>
              </w:rPr>
            </w:pPr>
            <w:r w:rsidRPr="007D6D9E">
              <w:rPr>
                <w:rStyle w:val="GridTable1Light1"/>
                <w:rFonts w:ascii="Verdana" w:eastAsia="Calibri" w:hAnsi="Verdana"/>
                <w:sz w:val="22"/>
                <w:szCs w:val="22"/>
              </w:rPr>
              <w:t xml:space="preserve">Patients usually resident in </w:t>
            </w:r>
            <w:r w:rsidR="00A073CC" w:rsidRPr="007D6D9E">
              <w:rPr>
                <w:rStyle w:val="GridTable1Light1"/>
                <w:rFonts w:ascii="Verdana" w:eastAsia="Calibri" w:hAnsi="Verdana"/>
                <w:b/>
                <w:bCs/>
                <w:sz w:val="22"/>
                <w:szCs w:val="22"/>
              </w:rPr>
              <w:t>[Put local area here]</w:t>
            </w:r>
            <w:r w:rsidRPr="007D6D9E">
              <w:rPr>
                <w:rStyle w:val="GridTable1Light1"/>
                <w:rFonts w:ascii="Verdana" w:eastAsia="Calibri" w:hAnsi="Verdana"/>
                <w:sz w:val="22"/>
                <w:szCs w:val="22"/>
              </w:rPr>
              <w:t xml:space="preserve">, who fractured whilst away from home and who present on returning home (as a result of the fracture) to local orthopaedic or primary care </w:t>
            </w:r>
            <w:proofErr w:type="gramStart"/>
            <w:r w:rsidRPr="007D6D9E">
              <w:rPr>
                <w:rStyle w:val="GridTable1Light1"/>
                <w:rFonts w:ascii="Verdana" w:eastAsia="Calibri" w:hAnsi="Verdana"/>
                <w:sz w:val="22"/>
                <w:szCs w:val="22"/>
              </w:rPr>
              <w:t>services</w:t>
            </w:r>
            <w:proofErr w:type="gramEnd"/>
          </w:p>
          <w:p w14:paraId="481CF4D2" w14:textId="77777777" w:rsidR="00D47974" w:rsidRPr="007D6D9E" w:rsidRDefault="00D47974" w:rsidP="00D47974">
            <w:pPr>
              <w:spacing w:after="0"/>
              <w:jc w:val="both"/>
              <w:rPr>
                <w:rFonts w:ascii="Verdana" w:hAnsi="Verdana"/>
                <w:sz w:val="22"/>
                <w:szCs w:val="22"/>
              </w:rPr>
            </w:pPr>
          </w:p>
          <w:p w14:paraId="3C6AC749" w14:textId="003B26C9" w:rsidR="008819A8" w:rsidRPr="007D6D9E" w:rsidRDefault="00270951" w:rsidP="00D81C9E">
            <w:pPr>
              <w:spacing w:after="0"/>
              <w:jc w:val="both"/>
              <w:rPr>
                <w:rFonts w:ascii="Verdana" w:hAnsi="Verdana" w:cs="Arial"/>
                <w:sz w:val="22"/>
                <w:szCs w:val="22"/>
              </w:rPr>
            </w:pPr>
            <w:r w:rsidRPr="007D6D9E">
              <w:rPr>
                <w:rFonts w:ascii="Verdana" w:hAnsi="Verdana"/>
                <w:sz w:val="22"/>
                <w:szCs w:val="22"/>
              </w:rPr>
              <w:t>T</w:t>
            </w:r>
            <w:r w:rsidR="00D47974" w:rsidRPr="007D6D9E">
              <w:rPr>
                <w:rFonts w:ascii="Verdana" w:hAnsi="Verdana"/>
                <w:sz w:val="22"/>
                <w:szCs w:val="22"/>
              </w:rPr>
              <w:t xml:space="preserve">he service will also accept referrals </w:t>
            </w:r>
            <w:r w:rsidR="00D47974" w:rsidRPr="007D6D9E">
              <w:rPr>
                <w:rFonts w:ascii="Verdana" w:hAnsi="Verdana" w:cs="Arial"/>
                <w:sz w:val="22"/>
                <w:szCs w:val="22"/>
              </w:rPr>
              <w:t>from other practitioners/services</w:t>
            </w:r>
            <w:r w:rsidR="00964886" w:rsidRPr="007D6D9E">
              <w:rPr>
                <w:rFonts w:ascii="Verdana" w:hAnsi="Verdana" w:cs="Arial"/>
                <w:sz w:val="22"/>
                <w:szCs w:val="22"/>
              </w:rPr>
              <w:t xml:space="preserve"> of relevant patients. </w:t>
            </w:r>
          </w:p>
          <w:p w14:paraId="17E4BBBE" w14:textId="53353CD0" w:rsidR="00D81C9E" w:rsidRPr="007D6D9E" w:rsidRDefault="00D81C9E" w:rsidP="00D81C9E">
            <w:pPr>
              <w:spacing w:after="0"/>
              <w:jc w:val="both"/>
              <w:rPr>
                <w:rFonts w:ascii="Verdana" w:hAnsi="Verdana"/>
                <w:b/>
                <w:bCs/>
                <w:sz w:val="22"/>
                <w:szCs w:val="22"/>
              </w:rPr>
            </w:pPr>
            <w:r w:rsidRPr="007D6D9E">
              <w:rPr>
                <w:rFonts w:ascii="Verdana" w:hAnsi="Verdana"/>
                <w:b/>
                <w:bCs/>
                <w:sz w:val="22"/>
                <w:szCs w:val="22"/>
              </w:rPr>
              <w:lastRenderedPageBreak/>
              <w:t>Standard 2: Investigation</w:t>
            </w:r>
          </w:p>
          <w:p w14:paraId="5A782898" w14:textId="7E09DB89" w:rsidR="00817DC2" w:rsidRPr="007D6D9E" w:rsidRDefault="00817DC2" w:rsidP="00817DC2">
            <w:pPr>
              <w:jc w:val="both"/>
              <w:rPr>
                <w:rFonts w:ascii="Verdana" w:hAnsi="Verdana"/>
                <w:sz w:val="22"/>
                <w:szCs w:val="22"/>
              </w:rPr>
            </w:pPr>
            <w:r w:rsidRPr="007D6D9E">
              <w:rPr>
                <w:rFonts w:ascii="Verdana" w:hAnsi="Verdana"/>
                <w:sz w:val="22"/>
                <w:szCs w:val="22"/>
              </w:rPr>
              <w:t>Patients identified and meeting the inclusion criteria will be offered a comprehensive, multifactorial risk assessment within 12 weeks of the fracture diagnosis. For patients not already on bone sparing treatment, this assessment will include:</w:t>
            </w:r>
          </w:p>
          <w:p w14:paraId="5FF5960A" w14:textId="78BB9C25" w:rsidR="003E1EC1" w:rsidRPr="007D6D9E" w:rsidRDefault="003E1EC1" w:rsidP="00CA68EC">
            <w:pPr>
              <w:pStyle w:val="ListParagraph"/>
              <w:numPr>
                <w:ilvl w:val="0"/>
                <w:numId w:val="5"/>
              </w:numPr>
              <w:jc w:val="both"/>
              <w:rPr>
                <w:rFonts w:ascii="Verdana" w:hAnsi="Verdana"/>
                <w:sz w:val="22"/>
                <w:szCs w:val="22"/>
              </w:rPr>
            </w:pPr>
            <w:r w:rsidRPr="007D6D9E">
              <w:rPr>
                <w:rFonts w:ascii="Verdana" w:hAnsi="Verdana"/>
                <w:sz w:val="22"/>
                <w:szCs w:val="22"/>
              </w:rPr>
              <w:t>In line with NICE guidance, an estimation of absolute risk of (any) major osteoporotic fracture and an estimation of absolute risk of hip fracture over the next 10 years utilizing FRAX</w:t>
            </w:r>
            <w:r w:rsidRPr="007D6D9E">
              <w:rPr>
                <w:rFonts w:ascii="Verdana" w:hAnsi="Verdana"/>
                <w:sz w:val="22"/>
                <w:szCs w:val="22"/>
                <w:vertAlign w:val="superscript"/>
              </w:rPr>
              <w:t>®</w:t>
            </w:r>
            <w:r w:rsidRPr="007D6D9E">
              <w:rPr>
                <w:rFonts w:ascii="Verdana" w:hAnsi="Verdana"/>
                <w:sz w:val="22"/>
                <w:szCs w:val="22"/>
              </w:rPr>
              <w:t xml:space="preserve"> within the allowed age range.  </w:t>
            </w:r>
          </w:p>
          <w:p w14:paraId="6F94F6E3" w14:textId="44120AF8" w:rsidR="009D545E" w:rsidRPr="007D6D9E" w:rsidRDefault="009D545E" w:rsidP="00CA68EC">
            <w:pPr>
              <w:pStyle w:val="ListParagraph"/>
              <w:numPr>
                <w:ilvl w:val="0"/>
                <w:numId w:val="5"/>
              </w:numPr>
              <w:jc w:val="both"/>
              <w:rPr>
                <w:rFonts w:ascii="Verdana" w:hAnsi="Verdana"/>
                <w:b/>
                <w:bCs/>
                <w:sz w:val="22"/>
                <w:szCs w:val="22"/>
              </w:rPr>
            </w:pPr>
            <w:r w:rsidRPr="007D6D9E">
              <w:rPr>
                <w:rFonts w:ascii="Verdana" w:hAnsi="Verdana"/>
                <w:sz w:val="22"/>
                <w:szCs w:val="22"/>
              </w:rPr>
              <w:t xml:space="preserve">In line with NICE guidance where clinically appropriate (for those whose fracture risk is in the region of an intervention threshold), an assessment of bone mineral density using axial Dual Energy X-ray Absorptiometry (DXA) </w:t>
            </w:r>
            <w:r w:rsidRPr="007D6D9E">
              <w:rPr>
                <w:rFonts w:ascii="Verdana" w:hAnsi="Verdana"/>
                <w:b/>
                <w:bCs/>
                <w:sz w:val="22"/>
                <w:szCs w:val="22"/>
              </w:rPr>
              <w:t>[+/-VFA if available – describe criteria if relevant]</w:t>
            </w:r>
          </w:p>
          <w:p w14:paraId="12CECFCC" w14:textId="77777777" w:rsidR="006907D4" w:rsidRPr="007D6D9E" w:rsidRDefault="00753F29" w:rsidP="00CA68EC">
            <w:pPr>
              <w:pStyle w:val="ListParagraph"/>
              <w:numPr>
                <w:ilvl w:val="0"/>
                <w:numId w:val="5"/>
              </w:numPr>
              <w:jc w:val="both"/>
              <w:rPr>
                <w:rFonts w:ascii="Verdana" w:hAnsi="Verdana"/>
                <w:sz w:val="22"/>
                <w:szCs w:val="22"/>
              </w:rPr>
            </w:pPr>
            <w:r w:rsidRPr="007D6D9E">
              <w:rPr>
                <w:rFonts w:ascii="Verdana" w:hAnsi="Verdana"/>
                <w:sz w:val="22"/>
                <w:szCs w:val="22"/>
              </w:rPr>
              <w:t>In line with NICE guidance</w:t>
            </w:r>
            <w:r w:rsidR="00974724" w:rsidRPr="007D6D9E">
              <w:rPr>
                <w:rFonts w:ascii="Verdana" w:hAnsi="Verdana"/>
                <w:sz w:val="22"/>
                <w:szCs w:val="22"/>
              </w:rPr>
              <w:t xml:space="preserve">, </w:t>
            </w:r>
            <w:r w:rsidRPr="007D6D9E">
              <w:rPr>
                <w:rFonts w:ascii="Verdana" w:hAnsi="Verdana"/>
                <w:sz w:val="22"/>
                <w:szCs w:val="22"/>
              </w:rPr>
              <w:t xml:space="preserve">patients over the age of 65 will also be asked about their history of falls, including frequency, </w:t>
            </w:r>
            <w:proofErr w:type="gramStart"/>
            <w:r w:rsidRPr="007D6D9E">
              <w:rPr>
                <w:rFonts w:ascii="Verdana" w:hAnsi="Verdana"/>
                <w:sz w:val="22"/>
                <w:szCs w:val="22"/>
              </w:rPr>
              <w:t>context</w:t>
            </w:r>
            <w:proofErr w:type="gramEnd"/>
            <w:r w:rsidRPr="007D6D9E">
              <w:rPr>
                <w:rFonts w:ascii="Verdana" w:hAnsi="Verdana"/>
                <w:sz w:val="22"/>
                <w:szCs w:val="22"/>
              </w:rPr>
              <w:t xml:space="preserve"> and characteristics of their fall/s.  Older people reporting falls or felt to be at increased risk of falling will be considered for their ability to benefit from interventions to improve strength and balance and an onwards referral made to the local falls service, </w:t>
            </w:r>
            <w:r w:rsidR="009753C4" w:rsidRPr="007D6D9E">
              <w:rPr>
                <w:rFonts w:ascii="Verdana" w:hAnsi="Verdana"/>
                <w:sz w:val="22"/>
                <w:szCs w:val="22"/>
              </w:rPr>
              <w:t>as</w:t>
            </w:r>
            <w:r w:rsidRPr="007D6D9E">
              <w:rPr>
                <w:rFonts w:ascii="Verdana" w:hAnsi="Verdana"/>
                <w:sz w:val="22"/>
                <w:szCs w:val="22"/>
              </w:rPr>
              <w:t xml:space="preserve"> appropriate</w:t>
            </w:r>
            <w:r w:rsidR="009753C4" w:rsidRPr="007D6D9E">
              <w:rPr>
                <w:rFonts w:ascii="Verdana" w:hAnsi="Verdana"/>
                <w:sz w:val="22"/>
                <w:szCs w:val="22"/>
              </w:rPr>
              <w:t>, providing the patient consents to this</w:t>
            </w:r>
            <w:r w:rsidRPr="007D6D9E">
              <w:rPr>
                <w:rFonts w:ascii="Verdana" w:hAnsi="Verdana"/>
                <w:sz w:val="22"/>
                <w:szCs w:val="22"/>
              </w:rPr>
              <w:t xml:space="preserve">.  This may also be indicated in people aged 50-64 who have risk factors for falls.  </w:t>
            </w:r>
            <w:r w:rsidR="00437F5E" w:rsidRPr="007D6D9E">
              <w:rPr>
                <w:rFonts w:ascii="Verdana" w:hAnsi="Verdana"/>
                <w:sz w:val="22"/>
                <w:szCs w:val="22"/>
              </w:rPr>
              <w:t>The FLS will work closely with local falls services, to determine appropriate pathways to ensure early falls risk assessment and intervention post-fracture</w:t>
            </w:r>
            <w:r w:rsidR="00FB5C4E" w:rsidRPr="007D6D9E">
              <w:rPr>
                <w:rFonts w:ascii="Verdana" w:hAnsi="Verdana"/>
                <w:bCs/>
                <w:sz w:val="22"/>
                <w:szCs w:val="22"/>
              </w:rPr>
              <w:t xml:space="preserve">, for relevant patients. </w:t>
            </w:r>
          </w:p>
          <w:p w14:paraId="4ADBA002" w14:textId="13D3E126" w:rsidR="00CC3E67" w:rsidRPr="007D6D9E" w:rsidRDefault="00CC3E67" w:rsidP="00CA68EC">
            <w:pPr>
              <w:pStyle w:val="ListParagraph"/>
              <w:numPr>
                <w:ilvl w:val="0"/>
                <w:numId w:val="5"/>
              </w:numPr>
              <w:jc w:val="both"/>
              <w:rPr>
                <w:rFonts w:ascii="Verdana" w:hAnsi="Verdana"/>
                <w:sz w:val="22"/>
                <w:szCs w:val="22"/>
              </w:rPr>
            </w:pPr>
            <w:r w:rsidRPr="007D6D9E">
              <w:rPr>
                <w:rFonts w:ascii="Verdana" w:hAnsi="Verdana" w:cs="Arial"/>
                <w:sz w:val="22"/>
                <w:szCs w:val="22"/>
              </w:rPr>
              <w:t xml:space="preserve">Other </w:t>
            </w:r>
            <w:r w:rsidR="006907D4" w:rsidRPr="007D6D9E">
              <w:rPr>
                <w:rFonts w:ascii="Verdana" w:hAnsi="Verdana" w:cs="Arial"/>
                <w:sz w:val="22"/>
                <w:szCs w:val="22"/>
              </w:rPr>
              <w:t>investigations</w:t>
            </w:r>
            <w:r w:rsidRPr="007D6D9E">
              <w:rPr>
                <w:rFonts w:ascii="Verdana" w:hAnsi="Verdana" w:cs="Arial"/>
                <w:sz w:val="22"/>
                <w:szCs w:val="22"/>
              </w:rPr>
              <w:t xml:space="preserve"> may be appropriate for individual patients depending on the clinical presentation </w:t>
            </w:r>
            <w:r w:rsidR="00574D09" w:rsidRPr="007D6D9E">
              <w:rPr>
                <w:rFonts w:ascii="Verdana" w:hAnsi="Verdana" w:cs="Arial"/>
                <w:sz w:val="22"/>
                <w:szCs w:val="22"/>
              </w:rPr>
              <w:t>to</w:t>
            </w:r>
            <w:r w:rsidRPr="007D6D9E">
              <w:rPr>
                <w:rFonts w:ascii="Verdana" w:hAnsi="Verdana" w:cs="Arial"/>
                <w:sz w:val="22"/>
                <w:szCs w:val="22"/>
              </w:rPr>
              <w:t xml:space="preserve"> assess for underlying secondary causes of osteoporosis and high fracture risk. </w:t>
            </w:r>
          </w:p>
          <w:p w14:paraId="13E81E35" w14:textId="77777777" w:rsidR="00CC3E67" w:rsidRPr="007D6D9E" w:rsidRDefault="00CC3E67" w:rsidP="00CC3E67">
            <w:pPr>
              <w:pStyle w:val="ListParagraph"/>
              <w:ind w:left="347"/>
              <w:jc w:val="both"/>
              <w:rPr>
                <w:rFonts w:ascii="Verdana" w:hAnsi="Verdana"/>
                <w:sz w:val="22"/>
                <w:szCs w:val="22"/>
              </w:rPr>
            </w:pPr>
          </w:p>
          <w:p w14:paraId="56DEA948" w14:textId="77777777" w:rsidR="00C2614E" w:rsidRPr="007D6D9E" w:rsidRDefault="00C2614E" w:rsidP="00C2614E">
            <w:pPr>
              <w:spacing w:after="0"/>
              <w:jc w:val="both"/>
              <w:rPr>
                <w:rFonts w:ascii="Verdana" w:hAnsi="Verdana"/>
                <w:b/>
                <w:bCs/>
                <w:sz w:val="22"/>
                <w:szCs w:val="22"/>
              </w:rPr>
            </w:pPr>
            <w:r w:rsidRPr="007D6D9E">
              <w:rPr>
                <w:rFonts w:ascii="Verdana" w:hAnsi="Verdana"/>
                <w:b/>
                <w:bCs/>
                <w:sz w:val="22"/>
                <w:szCs w:val="22"/>
              </w:rPr>
              <w:t>Standard 3: Inform and support</w:t>
            </w:r>
          </w:p>
          <w:p w14:paraId="371112BD" w14:textId="77777777" w:rsidR="00C2614E" w:rsidRPr="000F74DC" w:rsidRDefault="00C2614E" w:rsidP="00CA68EC">
            <w:pPr>
              <w:pStyle w:val="ListParagraph"/>
              <w:numPr>
                <w:ilvl w:val="0"/>
                <w:numId w:val="5"/>
              </w:numPr>
              <w:jc w:val="both"/>
              <w:rPr>
                <w:rFonts w:ascii="Verdana" w:hAnsi="Verdana" w:cs="Arial"/>
                <w:sz w:val="22"/>
                <w:szCs w:val="22"/>
              </w:rPr>
            </w:pPr>
            <w:r w:rsidRPr="000F74DC">
              <w:rPr>
                <w:rFonts w:ascii="Verdana" w:hAnsi="Verdana" w:cs="Arial"/>
                <w:sz w:val="22"/>
                <w:szCs w:val="22"/>
              </w:rPr>
              <w:t>All patients will be offered basic bone health and lifestyle information.  Patients identified as being at increased risk of further fragility fractures will be offered additional information to inform shared decision making and self-management, including information on:</w:t>
            </w:r>
          </w:p>
          <w:p w14:paraId="25089F80" w14:textId="77777777" w:rsidR="00C2614E" w:rsidRPr="007D6D9E" w:rsidRDefault="00C2614E" w:rsidP="00CA68EC">
            <w:pPr>
              <w:pStyle w:val="ListParagraph"/>
              <w:numPr>
                <w:ilvl w:val="0"/>
                <w:numId w:val="7"/>
              </w:numPr>
              <w:jc w:val="both"/>
              <w:rPr>
                <w:rFonts w:ascii="Verdana" w:hAnsi="Verdana"/>
                <w:sz w:val="22"/>
                <w:szCs w:val="22"/>
              </w:rPr>
            </w:pPr>
            <w:r w:rsidRPr="007D6D9E">
              <w:rPr>
                <w:rFonts w:ascii="Verdana" w:hAnsi="Verdana"/>
                <w:sz w:val="22"/>
                <w:szCs w:val="22"/>
              </w:rPr>
              <w:t>osteoporosis</w:t>
            </w:r>
          </w:p>
          <w:p w14:paraId="56DBA5E0" w14:textId="77777777" w:rsidR="00C2614E" w:rsidRPr="007D6D9E" w:rsidRDefault="00C2614E" w:rsidP="00CA68EC">
            <w:pPr>
              <w:pStyle w:val="ListParagraph"/>
              <w:numPr>
                <w:ilvl w:val="0"/>
                <w:numId w:val="7"/>
              </w:numPr>
              <w:jc w:val="both"/>
              <w:rPr>
                <w:rFonts w:ascii="Verdana" w:hAnsi="Verdana"/>
                <w:sz w:val="22"/>
                <w:szCs w:val="22"/>
              </w:rPr>
            </w:pPr>
            <w:r w:rsidRPr="007D6D9E">
              <w:rPr>
                <w:rFonts w:ascii="Verdana" w:hAnsi="Verdana"/>
                <w:sz w:val="22"/>
                <w:szCs w:val="22"/>
              </w:rPr>
              <w:t>risks and benefits of different pharmacological treatment options available</w:t>
            </w:r>
          </w:p>
          <w:p w14:paraId="43775AF1" w14:textId="77777777" w:rsidR="00C2614E" w:rsidRPr="007D6D9E" w:rsidRDefault="00C2614E" w:rsidP="00CA68EC">
            <w:pPr>
              <w:pStyle w:val="ListParagraph"/>
              <w:numPr>
                <w:ilvl w:val="0"/>
                <w:numId w:val="7"/>
              </w:numPr>
              <w:jc w:val="both"/>
              <w:rPr>
                <w:rFonts w:ascii="Verdana" w:hAnsi="Verdana"/>
                <w:sz w:val="22"/>
                <w:szCs w:val="22"/>
              </w:rPr>
            </w:pPr>
            <w:r w:rsidRPr="007D6D9E">
              <w:rPr>
                <w:rFonts w:ascii="Verdana" w:hAnsi="Verdana"/>
                <w:sz w:val="22"/>
                <w:szCs w:val="22"/>
              </w:rPr>
              <w:t>diet and exercise for healthy bones</w:t>
            </w:r>
          </w:p>
          <w:p w14:paraId="54E89DDA" w14:textId="77777777" w:rsidR="00C2614E" w:rsidRPr="007D6D9E" w:rsidRDefault="00C2614E" w:rsidP="00CA68EC">
            <w:pPr>
              <w:pStyle w:val="ListParagraph"/>
              <w:numPr>
                <w:ilvl w:val="0"/>
                <w:numId w:val="7"/>
              </w:numPr>
              <w:jc w:val="both"/>
              <w:rPr>
                <w:rFonts w:ascii="Verdana" w:hAnsi="Verdana"/>
                <w:sz w:val="22"/>
                <w:szCs w:val="22"/>
              </w:rPr>
            </w:pPr>
            <w:r w:rsidRPr="007D6D9E">
              <w:rPr>
                <w:rFonts w:ascii="Verdana" w:hAnsi="Verdana"/>
                <w:sz w:val="22"/>
                <w:szCs w:val="22"/>
              </w:rPr>
              <w:t>In addition, where appropriate, pain management and reducing risk of falls.</w:t>
            </w:r>
          </w:p>
          <w:p w14:paraId="7AFC86EA" w14:textId="77777777" w:rsidR="00C2614E" w:rsidRPr="007D6D9E" w:rsidRDefault="00C2614E" w:rsidP="00C2614E">
            <w:pPr>
              <w:spacing w:after="0"/>
              <w:jc w:val="both"/>
              <w:rPr>
                <w:rFonts w:ascii="Verdana" w:hAnsi="Verdana" w:cs="Arial"/>
                <w:sz w:val="22"/>
                <w:szCs w:val="22"/>
              </w:rPr>
            </w:pPr>
          </w:p>
          <w:p w14:paraId="14926B68" w14:textId="419BF757" w:rsidR="00C2614E" w:rsidRPr="00F052F8" w:rsidRDefault="00C2614E" w:rsidP="00CA68EC">
            <w:pPr>
              <w:pStyle w:val="ListParagraph"/>
              <w:numPr>
                <w:ilvl w:val="0"/>
                <w:numId w:val="5"/>
              </w:numPr>
              <w:jc w:val="both"/>
              <w:rPr>
                <w:rFonts w:ascii="Verdana" w:hAnsi="Verdana" w:cs="Arial"/>
                <w:sz w:val="22"/>
                <w:szCs w:val="22"/>
              </w:rPr>
            </w:pPr>
            <w:r w:rsidRPr="007D6D9E">
              <w:rPr>
                <w:rFonts w:ascii="Verdana" w:hAnsi="Verdana" w:cs="Arial"/>
                <w:sz w:val="22"/>
                <w:szCs w:val="22"/>
              </w:rPr>
              <w:t xml:space="preserve">Information will be available in a range of formats and languages, appropriate to the population served.  Locally agreed, Trust approved, written patient information materials will be used, alongside the Royal Osteoporosis Society’s patient information resources.   </w:t>
            </w:r>
          </w:p>
          <w:p w14:paraId="502F2662" w14:textId="77777777" w:rsidR="00C2614E" w:rsidRPr="007D6D9E" w:rsidRDefault="00C2614E" w:rsidP="00CA68EC">
            <w:pPr>
              <w:pStyle w:val="ListParagraph"/>
              <w:numPr>
                <w:ilvl w:val="0"/>
                <w:numId w:val="5"/>
              </w:numPr>
              <w:jc w:val="both"/>
              <w:rPr>
                <w:rFonts w:ascii="Verdana" w:hAnsi="Verdana" w:cs="Arial"/>
                <w:sz w:val="22"/>
                <w:szCs w:val="22"/>
              </w:rPr>
            </w:pPr>
            <w:r w:rsidRPr="007D6D9E">
              <w:rPr>
                <w:rFonts w:ascii="Verdana" w:hAnsi="Verdana" w:cs="Arial"/>
                <w:sz w:val="22"/>
                <w:szCs w:val="22"/>
              </w:rPr>
              <w:t>Patients and their carers will be advised where to get further information about osteoporosis and/or support should they want or need it.</w:t>
            </w:r>
          </w:p>
          <w:p w14:paraId="3BE060E2" w14:textId="59784310" w:rsidR="00C2614E" w:rsidRPr="007D6D9E" w:rsidRDefault="00C2614E" w:rsidP="00CA68EC">
            <w:pPr>
              <w:pStyle w:val="ListParagraph"/>
              <w:numPr>
                <w:ilvl w:val="0"/>
                <w:numId w:val="5"/>
              </w:numPr>
              <w:jc w:val="both"/>
              <w:rPr>
                <w:rFonts w:ascii="Verdana" w:hAnsi="Verdana" w:cs="Arial"/>
                <w:sz w:val="22"/>
                <w:szCs w:val="22"/>
              </w:rPr>
            </w:pPr>
            <w:r w:rsidRPr="007D6D9E">
              <w:rPr>
                <w:rFonts w:ascii="Verdana" w:hAnsi="Verdana" w:cs="Arial"/>
                <w:sz w:val="22"/>
                <w:szCs w:val="22"/>
              </w:rPr>
              <w:t>Patients will have access to a telephone advice line should they have any concerns or questions about their treatment or the management plan in general.</w:t>
            </w:r>
          </w:p>
          <w:p w14:paraId="75B18F75" w14:textId="78FFF6CC" w:rsidR="007F729B" w:rsidRDefault="00DB2455" w:rsidP="00CA68EC">
            <w:pPr>
              <w:pStyle w:val="ListParagraph"/>
              <w:numPr>
                <w:ilvl w:val="0"/>
                <w:numId w:val="5"/>
              </w:numPr>
              <w:jc w:val="both"/>
              <w:rPr>
                <w:rFonts w:ascii="Verdana" w:hAnsi="Verdana" w:cs="Arial"/>
                <w:sz w:val="22"/>
                <w:szCs w:val="22"/>
              </w:rPr>
            </w:pPr>
            <w:r w:rsidRPr="000F74DC">
              <w:rPr>
                <w:rFonts w:ascii="Verdana" w:hAnsi="Verdana" w:cs="Arial"/>
                <w:sz w:val="22"/>
                <w:szCs w:val="22"/>
              </w:rPr>
              <w:t>Patients will have a</w:t>
            </w:r>
            <w:r w:rsidR="007F729B" w:rsidRPr="000F74DC">
              <w:rPr>
                <w:rFonts w:ascii="Verdana" w:hAnsi="Verdana" w:cs="Arial"/>
                <w:sz w:val="22"/>
                <w:szCs w:val="22"/>
              </w:rPr>
              <w:t xml:space="preserve">ccess to education in the form of newly diagnosed </w:t>
            </w:r>
            <w:r w:rsidR="001B2394" w:rsidRPr="000F74DC">
              <w:rPr>
                <w:rFonts w:ascii="Verdana" w:hAnsi="Verdana" w:cs="Arial"/>
                <w:sz w:val="22"/>
                <w:szCs w:val="22"/>
              </w:rPr>
              <w:t xml:space="preserve">group </w:t>
            </w:r>
            <w:r w:rsidR="007F729B" w:rsidRPr="000F74DC">
              <w:rPr>
                <w:rFonts w:ascii="Verdana" w:hAnsi="Verdana" w:cs="Arial"/>
                <w:sz w:val="22"/>
                <w:szCs w:val="22"/>
              </w:rPr>
              <w:t xml:space="preserve">sessions to </w:t>
            </w:r>
            <w:r w:rsidR="001B2394" w:rsidRPr="000F74DC">
              <w:rPr>
                <w:rFonts w:ascii="Verdana" w:hAnsi="Verdana" w:cs="Arial"/>
                <w:sz w:val="22"/>
                <w:szCs w:val="22"/>
              </w:rPr>
              <w:t>promote</w:t>
            </w:r>
            <w:r w:rsidR="007F729B" w:rsidRPr="000F74DC">
              <w:rPr>
                <w:rFonts w:ascii="Verdana" w:hAnsi="Verdana" w:cs="Arial"/>
                <w:sz w:val="22"/>
                <w:szCs w:val="22"/>
              </w:rPr>
              <w:t xml:space="preserve"> adherence </w:t>
            </w:r>
            <w:r w:rsidR="001B2394" w:rsidRPr="000F74DC">
              <w:rPr>
                <w:rFonts w:ascii="Verdana" w:hAnsi="Verdana" w:cs="Arial"/>
                <w:sz w:val="22"/>
                <w:szCs w:val="22"/>
              </w:rPr>
              <w:t xml:space="preserve">to treatment </w:t>
            </w:r>
            <w:r w:rsidR="007F729B" w:rsidRPr="000F74DC">
              <w:rPr>
                <w:rFonts w:ascii="Verdana" w:hAnsi="Verdana" w:cs="Arial"/>
                <w:sz w:val="22"/>
                <w:szCs w:val="22"/>
              </w:rPr>
              <w:t>and give an opportunity for peer support</w:t>
            </w:r>
            <w:r w:rsidRPr="000F74DC">
              <w:rPr>
                <w:rFonts w:ascii="Verdana" w:hAnsi="Verdana" w:cs="Arial"/>
                <w:sz w:val="22"/>
                <w:szCs w:val="22"/>
              </w:rPr>
              <w:t>.</w:t>
            </w:r>
          </w:p>
          <w:p w14:paraId="327EBFD2" w14:textId="453F6A69" w:rsidR="00C2614E" w:rsidRPr="007D6D9E" w:rsidRDefault="00C2614E" w:rsidP="00C2614E">
            <w:pPr>
              <w:spacing w:after="0"/>
              <w:jc w:val="both"/>
              <w:rPr>
                <w:rFonts w:ascii="Verdana" w:hAnsi="Verdana"/>
                <w:b/>
                <w:bCs/>
                <w:sz w:val="22"/>
                <w:szCs w:val="22"/>
              </w:rPr>
            </w:pPr>
            <w:r w:rsidRPr="007D6D9E">
              <w:rPr>
                <w:rFonts w:ascii="Verdana" w:hAnsi="Verdana"/>
                <w:b/>
                <w:bCs/>
                <w:sz w:val="22"/>
                <w:szCs w:val="22"/>
              </w:rPr>
              <w:t>Standard 4: Intervene</w:t>
            </w:r>
          </w:p>
          <w:p w14:paraId="55DDE4D9" w14:textId="77777777" w:rsidR="00FC23A1" w:rsidRDefault="003F57AE" w:rsidP="00CA68EC">
            <w:pPr>
              <w:numPr>
                <w:ilvl w:val="0"/>
                <w:numId w:val="5"/>
              </w:numPr>
              <w:spacing w:after="120"/>
              <w:jc w:val="both"/>
              <w:rPr>
                <w:rFonts w:ascii="Verdana" w:hAnsi="Verdana" w:cs="Arial"/>
                <w:sz w:val="22"/>
                <w:szCs w:val="22"/>
              </w:rPr>
            </w:pPr>
            <w:r w:rsidRPr="00FC23A1">
              <w:rPr>
                <w:rFonts w:ascii="Verdana" w:hAnsi="Verdana" w:cs="Arial"/>
                <w:sz w:val="22"/>
                <w:szCs w:val="22"/>
              </w:rPr>
              <w:t>Where clinically indicated and not contraindicated, bone sparing treatment and adjunct calcium and vitamin D will be initiated</w:t>
            </w:r>
            <w:r w:rsidR="007E42BA" w:rsidRPr="00FC23A1">
              <w:rPr>
                <w:rFonts w:ascii="Verdana" w:hAnsi="Verdana" w:cs="Arial"/>
                <w:sz w:val="22"/>
                <w:szCs w:val="22"/>
              </w:rPr>
              <w:t>,</w:t>
            </w:r>
            <w:r w:rsidR="009D6B98" w:rsidRPr="00FC23A1">
              <w:rPr>
                <w:rFonts w:ascii="Verdana" w:hAnsi="Verdana" w:cs="Arial"/>
                <w:sz w:val="22"/>
                <w:szCs w:val="22"/>
              </w:rPr>
              <w:t xml:space="preserve"> </w:t>
            </w:r>
            <w:r w:rsidR="007E42BA" w:rsidRPr="0056284D">
              <w:rPr>
                <w:rFonts w:ascii="Verdana" w:hAnsi="Verdana" w:cs="Arial"/>
                <w:b/>
                <w:bCs/>
                <w:sz w:val="22"/>
                <w:szCs w:val="22"/>
              </w:rPr>
              <w:t>[it maybe that this is</w:t>
            </w:r>
            <w:r w:rsidRPr="0056284D">
              <w:rPr>
                <w:rFonts w:ascii="Verdana" w:hAnsi="Verdana" w:cs="Arial"/>
                <w:b/>
                <w:bCs/>
                <w:sz w:val="22"/>
                <w:szCs w:val="22"/>
              </w:rPr>
              <w:t xml:space="preserve"> </w:t>
            </w:r>
            <w:r w:rsidRPr="0056284D">
              <w:rPr>
                <w:rFonts w:ascii="Verdana" w:hAnsi="Verdana" w:cs="Arial"/>
                <w:b/>
                <w:bCs/>
                <w:sz w:val="22"/>
                <w:szCs w:val="22"/>
              </w:rPr>
              <w:lastRenderedPageBreak/>
              <w:t>in collaboration with the patient’s GP</w:t>
            </w:r>
            <w:r w:rsidR="007E42BA" w:rsidRPr="0056284D">
              <w:rPr>
                <w:rFonts w:ascii="Verdana" w:hAnsi="Verdana" w:cs="Arial"/>
                <w:b/>
                <w:bCs/>
                <w:sz w:val="22"/>
                <w:szCs w:val="22"/>
              </w:rPr>
              <w:t>]</w:t>
            </w:r>
            <w:r w:rsidRPr="00FC23A1">
              <w:rPr>
                <w:rFonts w:ascii="Verdana" w:hAnsi="Verdana" w:cs="Arial"/>
                <w:sz w:val="22"/>
                <w:szCs w:val="22"/>
              </w:rPr>
              <w:t xml:space="preserve"> within 16 weeks of the fracture diagnosis.  </w:t>
            </w:r>
          </w:p>
          <w:p w14:paraId="1655B9EF" w14:textId="4E70BBB5" w:rsidR="003F57AE" w:rsidRPr="0056284D" w:rsidRDefault="003F57AE" w:rsidP="00CA68EC">
            <w:pPr>
              <w:numPr>
                <w:ilvl w:val="0"/>
                <w:numId w:val="5"/>
              </w:numPr>
              <w:spacing w:after="120"/>
              <w:jc w:val="both"/>
              <w:rPr>
                <w:rFonts w:ascii="Verdana" w:hAnsi="Verdana" w:cs="Arial"/>
                <w:b/>
                <w:bCs/>
                <w:sz w:val="22"/>
                <w:szCs w:val="22"/>
              </w:rPr>
            </w:pPr>
            <w:r w:rsidRPr="00FC23A1">
              <w:rPr>
                <w:rFonts w:ascii="Verdana" w:hAnsi="Verdana" w:cs="Arial"/>
                <w:sz w:val="22"/>
                <w:szCs w:val="22"/>
              </w:rPr>
              <w:t xml:space="preserve">Following an analysis of risk versus benefit, treatment choice will </w:t>
            </w:r>
            <w:proofErr w:type="gramStart"/>
            <w:r w:rsidRPr="00FC23A1">
              <w:rPr>
                <w:rFonts w:ascii="Verdana" w:hAnsi="Verdana" w:cs="Arial"/>
                <w:sz w:val="22"/>
                <w:szCs w:val="22"/>
              </w:rPr>
              <w:t>take into account</w:t>
            </w:r>
            <w:proofErr w:type="gramEnd"/>
            <w:r w:rsidRPr="00FC23A1">
              <w:rPr>
                <w:rFonts w:ascii="Verdana" w:hAnsi="Verdana" w:cs="Arial"/>
                <w:sz w:val="22"/>
                <w:szCs w:val="22"/>
              </w:rPr>
              <w:t xml:space="preserve"> individual patient circumstances (including co-morbidities), patient preference, national guidance and locally agreed management pathways.  The patient will be included in the decision-making process. </w:t>
            </w:r>
            <w:r w:rsidRPr="0056284D">
              <w:rPr>
                <w:rFonts w:ascii="Verdana" w:hAnsi="Verdana" w:cs="Arial"/>
                <w:b/>
                <w:bCs/>
                <w:sz w:val="22"/>
                <w:szCs w:val="22"/>
              </w:rPr>
              <w:t>[This section may need to be amended depending on who will initiate treatment]</w:t>
            </w:r>
          </w:p>
          <w:p w14:paraId="71CAB673" w14:textId="77777777" w:rsidR="003F57AE" w:rsidRPr="0056284D" w:rsidRDefault="003F57AE" w:rsidP="00CA68EC">
            <w:pPr>
              <w:numPr>
                <w:ilvl w:val="0"/>
                <w:numId w:val="5"/>
              </w:numPr>
              <w:spacing w:after="120"/>
              <w:jc w:val="both"/>
              <w:rPr>
                <w:rFonts w:ascii="Verdana" w:hAnsi="Verdana" w:cs="Arial"/>
                <w:sz w:val="22"/>
                <w:szCs w:val="22"/>
              </w:rPr>
            </w:pPr>
            <w:r w:rsidRPr="0056284D">
              <w:rPr>
                <w:rFonts w:ascii="Verdana" w:hAnsi="Verdana" w:cs="Arial"/>
                <w:sz w:val="22"/>
                <w:szCs w:val="22"/>
              </w:rPr>
              <w:t xml:space="preserve">Written bone health management plans will be shared with the patient’s GP and the patient.  </w:t>
            </w:r>
          </w:p>
          <w:p w14:paraId="6CE1325B" w14:textId="70E3B361" w:rsidR="003F57AE" w:rsidRPr="0056284D" w:rsidRDefault="003F57AE" w:rsidP="00CA68EC">
            <w:pPr>
              <w:numPr>
                <w:ilvl w:val="0"/>
                <w:numId w:val="5"/>
              </w:numPr>
              <w:spacing w:after="120"/>
              <w:jc w:val="both"/>
              <w:rPr>
                <w:rFonts w:ascii="Verdana" w:hAnsi="Verdana" w:cs="Arial"/>
                <w:sz w:val="22"/>
                <w:szCs w:val="22"/>
              </w:rPr>
            </w:pPr>
            <w:r w:rsidRPr="0056284D">
              <w:rPr>
                <w:rFonts w:ascii="Verdana" w:hAnsi="Verdana" w:cs="Arial"/>
                <w:sz w:val="22"/>
                <w:szCs w:val="22"/>
              </w:rPr>
              <w:t xml:space="preserve">Those who are recommended treatment will be reviewed by </w:t>
            </w:r>
            <w:r w:rsidR="00CE6BDB" w:rsidRPr="0056284D">
              <w:rPr>
                <w:rFonts w:ascii="Verdana" w:hAnsi="Verdana" w:cs="Arial"/>
                <w:sz w:val="22"/>
                <w:szCs w:val="22"/>
              </w:rPr>
              <w:t>the FLS</w:t>
            </w:r>
            <w:r w:rsidRPr="0056284D">
              <w:rPr>
                <w:rFonts w:ascii="Verdana" w:hAnsi="Verdana" w:cs="Arial"/>
                <w:sz w:val="22"/>
                <w:szCs w:val="22"/>
              </w:rPr>
              <w:t xml:space="preserve"> within 16 weeks of fracture and again at 52 weeks post fracture to ensure that recommended interventions (pharmacological and </w:t>
            </w:r>
            <w:proofErr w:type="spellStart"/>
            <w:r w:rsidRPr="0056284D">
              <w:rPr>
                <w:rFonts w:ascii="Verdana" w:hAnsi="Verdana" w:cs="Arial"/>
                <w:sz w:val="22"/>
                <w:szCs w:val="22"/>
              </w:rPr>
              <w:t>non pharmacological</w:t>
            </w:r>
            <w:proofErr w:type="spellEnd"/>
            <w:r w:rsidRPr="0056284D">
              <w:rPr>
                <w:rFonts w:ascii="Verdana" w:hAnsi="Verdana" w:cs="Arial"/>
                <w:sz w:val="22"/>
                <w:szCs w:val="22"/>
              </w:rPr>
              <w:t xml:space="preserve">) have commenced, to check that drug treatments are being taken as directed, that the patient is not experiencing any side effects and that they have made a good recovery from their fracture.  </w:t>
            </w:r>
            <w:r w:rsidRPr="007D6D9E">
              <w:rPr>
                <w:rFonts w:ascii="Verdana" w:hAnsi="Verdana" w:cs="Arial"/>
                <w:sz w:val="22"/>
                <w:szCs w:val="22"/>
              </w:rPr>
              <w:t xml:space="preserve">Follow-up also allows people to express any doubts and concerns about their treatment and to raise any questions.  In addition, it is </w:t>
            </w:r>
            <w:r w:rsidRPr="0056284D">
              <w:rPr>
                <w:rFonts w:ascii="Verdana" w:hAnsi="Verdana" w:cs="Arial"/>
                <w:sz w:val="22"/>
                <w:szCs w:val="22"/>
              </w:rPr>
              <w:t xml:space="preserve">an opportunity to ascertain whether the person has experienced any further falls or fractures and whether there is a need for referral to associated services.  </w:t>
            </w:r>
          </w:p>
          <w:p w14:paraId="71C277B0" w14:textId="77777777" w:rsidR="00896780" w:rsidRPr="007D6D9E" w:rsidRDefault="00896780" w:rsidP="00C2614E">
            <w:pPr>
              <w:spacing w:after="0"/>
              <w:jc w:val="both"/>
              <w:rPr>
                <w:rFonts w:ascii="Verdana" w:hAnsi="Verdana"/>
                <w:b/>
                <w:bCs/>
                <w:sz w:val="22"/>
                <w:szCs w:val="22"/>
              </w:rPr>
            </w:pPr>
          </w:p>
          <w:p w14:paraId="373CDEFA" w14:textId="4948D821" w:rsidR="00056ACC" w:rsidRPr="007D6D9E" w:rsidRDefault="00F8497D" w:rsidP="00F8497D">
            <w:pPr>
              <w:spacing w:after="0"/>
              <w:jc w:val="both"/>
              <w:rPr>
                <w:rFonts w:ascii="Verdana" w:hAnsi="Verdana" w:cs="Arial"/>
                <w:b/>
                <w:bCs/>
                <w:sz w:val="22"/>
                <w:szCs w:val="22"/>
              </w:rPr>
            </w:pPr>
            <w:r w:rsidRPr="007D6D9E">
              <w:rPr>
                <w:rFonts w:ascii="Verdana" w:hAnsi="Verdana" w:cs="Arial"/>
                <w:b/>
                <w:bCs/>
                <w:sz w:val="22"/>
                <w:szCs w:val="22"/>
              </w:rPr>
              <w:t>Standard 5: Integrate</w:t>
            </w:r>
          </w:p>
          <w:p w14:paraId="7838A700" w14:textId="77777777" w:rsidR="00084857" w:rsidRPr="007D6D9E" w:rsidRDefault="00084857" w:rsidP="00CA68EC">
            <w:pPr>
              <w:numPr>
                <w:ilvl w:val="0"/>
                <w:numId w:val="5"/>
              </w:numPr>
              <w:spacing w:after="120"/>
              <w:jc w:val="both"/>
              <w:rPr>
                <w:rFonts w:ascii="Verdana" w:hAnsi="Verdana" w:cs="Arial"/>
                <w:sz w:val="22"/>
                <w:szCs w:val="22"/>
              </w:rPr>
            </w:pPr>
            <w:r w:rsidRPr="007D6D9E">
              <w:rPr>
                <w:rFonts w:ascii="Verdana" w:hAnsi="Verdana" w:cs="Arial"/>
                <w:sz w:val="22"/>
                <w:szCs w:val="22"/>
              </w:rPr>
              <w:t xml:space="preserve">The FLS team will agree (both incoming and outgoing) referral pathways with relevant teams and services (both internal and external) to maximise case finding and optimise patient care.  </w:t>
            </w:r>
          </w:p>
          <w:p w14:paraId="4543025F" w14:textId="09A73FC3" w:rsidR="00BA4C81" w:rsidRPr="00BA4C81" w:rsidRDefault="00BA4C81" w:rsidP="00CA68EC">
            <w:pPr>
              <w:numPr>
                <w:ilvl w:val="0"/>
                <w:numId w:val="5"/>
              </w:numPr>
              <w:spacing w:after="120"/>
              <w:jc w:val="both"/>
              <w:rPr>
                <w:rFonts w:ascii="Verdana" w:eastAsia="Times New Roman" w:hAnsi="Verdana"/>
                <w:sz w:val="20"/>
                <w:szCs w:val="18"/>
                <w:lang w:val="en-GB" w:eastAsia="en-US"/>
              </w:rPr>
            </w:pPr>
            <w:r w:rsidRPr="00BA4C81">
              <w:rPr>
                <w:rFonts w:ascii="Verdana" w:eastAsia="Times New Roman" w:hAnsi="Verdana"/>
                <w:sz w:val="22"/>
                <w:szCs w:val="18"/>
              </w:rPr>
              <w:t xml:space="preserve">In terms of communications, an outcome letter will be sent to the patient’s GP and copied to the patient after </w:t>
            </w:r>
            <w:r w:rsidR="00E67524">
              <w:rPr>
                <w:rFonts w:ascii="Verdana" w:eastAsia="Times New Roman" w:hAnsi="Verdana"/>
                <w:sz w:val="22"/>
                <w:szCs w:val="18"/>
              </w:rPr>
              <w:t xml:space="preserve">the initial assessment and </w:t>
            </w:r>
            <w:r w:rsidRPr="00BA4C81">
              <w:rPr>
                <w:rFonts w:ascii="Verdana" w:eastAsia="Times New Roman" w:hAnsi="Verdana"/>
                <w:sz w:val="22"/>
                <w:szCs w:val="18"/>
              </w:rPr>
              <w:t>each review appointment.  As far as possible, without affecting its efficacy as a clinical document, the outcome letter should be written in a way that is understandable to the public</w:t>
            </w:r>
            <w:r w:rsidR="007A5A51">
              <w:rPr>
                <w:rStyle w:val="EndnoteReference"/>
                <w:rFonts w:ascii="Verdana" w:eastAsia="Times New Roman" w:hAnsi="Verdana"/>
                <w:sz w:val="22"/>
                <w:szCs w:val="18"/>
              </w:rPr>
              <w:endnoteReference w:id="35"/>
            </w:r>
            <w:r w:rsidRPr="00BA4C81">
              <w:rPr>
                <w:rFonts w:ascii="Verdana" w:eastAsia="Times New Roman" w:hAnsi="Verdana"/>
                <w:sz w:val="22"/>
                <w:szCs w:val="18"/>
              </w:rPr>
              <w:t xml:space="preserve">.  Where technical information needs to be conveyed, </w:t>
            </w:r>
            <w:r w:rsidR="00F26A4E">
              <w:rPr>
                <w:rFonts w:ascii="Verdana" w:eastAsia="Times New Roman" w:hAnsi="Verdana"/>
                <w:sz w:val="22"/>
                <w:szCs w:val="18"/>
              </w:rPr>
              <w:t xml:space="preserve">the service should consider </w:t>
            </w:r>
            <w:r w:rsidRPr="00BA4C81">
              <w:rPr>
                <w:rFonts w:ascii="Verdana" w:eastAsia="Times New Roman" w:hAnsi="Verdana"/>
                <w:sz w:val="22"/>
                <w:szCs w:val="18"/>
              </w:rPr>
              <w:t>provid</w:t>
            </w:r>
            <w:r w:rsidR="00F26A4E">
              <w:rPr>
                <w:rFonts w:ascii="Verdana" w:eastAsia="Times New Roman" w:hAnsi="Verdana"/>
                <w:sz w:val="22"/>
                <w:szCs w:val="18"/>
              </w:rPr>
              <w:t>ing</w:t>
            </w:r>
            <w:r w:rsidRPr="00BA4C81">
              <w:rPr>
                <w:rFonts w:ascii="Verdana" w:eastAsia="Times New Roman" w:hAnsi="Verdana"/>
                <w:sz w:val="22"/>
                <w:szCs w:val="18"/>
              </w:rPr>
              <w:t xml:space="preserve"> explanatory information in easy to read leaflets</w:t>
            </w:r>
            <w:r w:rsidR="00381692">
              <w:rPr>
                <w:rStyle w:val="EndnoteReference"/>
                <w:rFonts w:ascii="Verdana" w:eastAsia="Times New Roman" w:hAnsi="Verdana"/>
                <w:sz w:val="22"/>
                <w:szCs w:val="18"/>
              </w:rPr>
              <w:endnoteReference w:id="36"/>
            </w:r>
            <w:r w:rsidRPr="00BA4C81">
              <w:rPr>
                <w:rFonts w:ascii="Verdana" w:eastAsia="Times New Roman" w:hAnsi="Verdana"/>
                <w:sz w:val="22"/>
                <w:szCs w:val="18"/>
              </w:rPr>
              <w:t>. Providing the documentation in alternative formats should also be considered to meet individual needs. All clinic</w:t>
            </w:r>
            <w:r w:rsidR="00BE4E80">
              <w:rPr>
                <w:rFonts w:ascii="Verdana" w:eastAsia="Times New Roman" w:hAnsi="Verdana"/>
                <w:sz w:val="22"/>
                <w:szCs w:val="18"/>
              </w:rPr>
              <w:t>al</w:t>
            </w:r>
            <w:r w:rsidRPr="00BA4C81">
              <w:rPr>
                <w:rFonts w:ascii="Verdana" w:eastAsia="Times New Roman" w:hAnsi="Verdana"/>
                <w:sz w:val="22"/>
                <w:szCs w:val="18"/>
              </w:rPr>
              <w:t xml:space="preserve"> documentation should be forwarded to appropriate parties within 7 calendar days. </w:t>
            </w:r>
          </w:p>
          <w:p w14:paraId="06409F4E" w14:textId="77777777" w:rsidR="00441E99" w:rsidRPr="007D6D9E" w:rsidRDefault="00056ACC" w:rsidP="00CA68EC">
            <w:pPr>
              <w:numPr>
                <w:ilvl w:val="0"/>
                <w:numId w:val="5"/>
              </w:numPr>
              <w:spacing w:after="120"/>
              <w:jc w:val="both"/>
              <w:rPr>
                <w:rFonts w:ascii="Verdana" w:hAnsi="Verdana" w:cs="Arial"/>
                <w:sz w:val="22"/>
                <w:szCs w:val="22"/>
              </w:rPr>
            </w:pPr>
            <w:r w:rsidRPr="007D6D9E">
              <w:rPr>
                <w:rFonts w:ascii="Verdana" w:hAnsi="Verdana" w:cs="Arial"/>
                <w:sz w:val="22"/>
                <w:szCs w:val="22"/>
              </w:rPr>
              <w:t>The patient will be discharged from the F</w:t>
            </w:r>
            <w:r w:rsidR="00420A0A" w:rsidRPr="007D6D9E">
              <w:rPr>
                <w:rFonts w:ascii="Verdana" w:hAnsi="Verdana" w:cs="Arial"/>
                <w:sz w:val="22"/>
                <w:szCs w:val="22"/>
              </w:rPr>
              <w:t>L</w:t>
            </w:r>
            <w:r w:rsidRPr="007D6D9E">
              <w:rPr>
                <w:rFonts w:ascii="Verdana" w:hAnsi="Verdana" w:cs="Arial"/>
                <w:sz w:val="22"/>
                <w:szCs w:val="22"/>
              </w:rPr>
              <w:t xml:space="preserve">S following the 52 week review.  At that point, further ongoing annual follow-up, from a </w:t>
            </w:r>
            <w:proofErr w:type="gramStart"/>
            <w:r w:rsidRPr="007D6D9E">
              <w:rPr>
                <w:rFonts w:ascii="Verdana" w:hAnsi="Verdana" w:cs="Arial"/>
                <w:sz w:val="22"/>
                <w:szCs w:val="22"/>
              </w:rPr>
              <w:t>medicines</w:t>
            </w:r>
            <w:proofErr w:type="gramEnd"/>
            <w:r w:rsidRPr="007D6D9E">
              <w:rPr>
                <w:rFonts w:ascii="Verdana" w:hAnsi="Verdana" w:cs="Arial"/>
                <w:sz w:val="22"/>
                <w:szCs w:val="22"/>
              </w:rPr>
              <w:t xml:space="preserve"> management point of view, should be conducted by a member of the primary care team.  The F</w:t>
            </w:r>
            <w:r w:rsidR="007C4CCD" w:rsidRPr="007D6D9E">
              <w:rPr>
                <w:rFonts w:ascii="Verdana" w:hAnsi="Verdana" w:cs="Arial"/>
                <w:sz w:val="22"/>
                <w:szCs w:val="22"/>
              </w:rPr>
              <w:t>L</w:t>
            </w:r>
            <w:r w:rsidRPr="007D6D9E">
              <w:rPr>
                <w:rFonts w:ascii="Verdana" w:hAnsi="Verdana" w:cs="Arial"/>
                <w:sz w:val="22"/>
                <w:szCs w:val="22"/>
              </w:rPr>
              <w:t xml:space="preserve">S 52 week review outcome letter should include a clear, ongoing, bone health management plan (to include review timescales), to facilitate a seamless transfer of care and enable the long-term management of osteoporosis in the primary care setting.  </w:t>
            </w:r>
          </w:p>
          <w:p w14:paraId="1678DCFA" w14:textId="49CE4451" w:rsidR="00917D14" w:rsidRPr="007D6D9E" w:rsidRDefault="00917D14" w:rsidP="00917D14">
            <w:pPr>
              <w:spacing w:after="0"/>
              <w:jc w:val="both"/>
              <w:rPr>
                <w:rFonts w:ascii="Verdana" w:hAnsi="Verdana" w:cs="Arial"/>
                <w:b/>
                <w:bCs/>
                <w:sz w:val="22"/>
                <w:szCs w:val="22"/>
              </w:rPr>
            </w:pPr>
            <w:r w:rsidRPr="007D6D9E">
              <w:rPr>
                <w:rFonts w:ascii="Verdana" w:hAnsi="Verdana" w:cs="Arial"/>
                <w:b/>
                <w:bCs/>
                <w:sz w:val="22"/>
                <w:szCs w:val="22"/>
              </w:rPr>
              <w:t xml:space="preserve">Standard 6: Quality through leadership, </w:t>
            </w:r>
            <w:r w:rsidR="00C51053" w:rsidRPr="007D6D9E">
              <w:rPr>
                <w:rFonts w:ascii="Verdana" w:hAnsi="Verdana" w:cs="Arial"/>
                <w:b/>
                <w:bCs/>
                <w:sz w:val="22"/>
                <w:szCs w:val="22"/>
              </w:rPr>
              <w:t>governance,</w:t>
            </w:r>
            <w:r w:rsidRPr="007D6D9E">
              <w:rPr>
                <w:rFonts w:ascii="Verdana" w:hAnsi="Verdana" w:cs="Arial"/>
                <w:b/>
                <w:bCs/>
                <w:sz w:val="22"/>
                <w:szCs w:val="22"/>
              </w:rPr>
              <w:t xml:space="preserve"> and development</w:t>
            </w:r>
          </w:p>
          <w:p w14:paraId="2B79244C" w14:textId="52FB3242" w:rsidR="00D52119" w:rsidRPr="007D6D9E" w:rsidRDefault="008E16FF" w:rsidP="00CA68EC">
            <w:pPr>
              <w:pStyle w:val="ListParagraph"/>
              <w:numPr>
                <w:ilvl w:val="0"/>
                <w:numId w:val="5"/>
              </w:numPr>
              <w:jc w:val="both"/>
              <w:rPr>
                <w:rFonts w:ascii="Verdana" w:hAnsi="Verdana" w:cs="Arial"/>
                <w:sz w:val="22"/>
                <w:szCs w:val="22"/>
              </w:rPr>
            </w:pPr>
            <w:r w:rsidRPr="007D6D9E">
              <w:rPr>
                <w:rFonts w:ascii="Verdana" w:eastAsia="Calibri" w:hAnsi="Verdana" w:cs="Arial"/>
                <w:sz w:val="22"/>
                <w:szCs w:val="22"/>
                <w:lang w:eastAsia="en-US"/>
              </w:rPr>
              <w:t>The Provider(s) must have a robust system of clinical governance in place</w:t>
            </w:r>
            <w:r w:rsidR="0034104A" w:rsidRPr="007D6D9E">
              <w:rPr>
                <w:rFonts w:ascii="Verdana" w:hAnsi="Verdana" w:cs="Arial"/>
                <w:sz w:val="22"/>
                <w:szCs w:val="22"/>
              </w:rPr>
              <w:t>, noting that the components of clinical governance include:</w:t>
            </w:r>
          </w:p>
          <w:p w14:paraId="26071C1C" w14:textId="77777777" w:rsidR="00D52119" w:rsidRPr="007D6D9E" w:rsidRDefault="00D52119" w:rsidP="00CA68EC">
            <w:pPr>
              <w:pStyle w:val="ListParagraph"/>
              <w:numPr>
                <w:ilvl w:val="0"/>
                <w:numId w:val="8"/>
              </w:numPr>
              <w:jc w:val="both"/>
              <w:rPr>
                <w:rFonts w:ascii="Verdana" w:hAnsi="Verdana" w:cs="Arial"/>
                <w:sz w:val="22"/>
                <w:szCs w:val="22"/>
              </w:rPr>
            </w:pPr>
            <w:r w:rsidRPr="007D6D9E">
              <w:rPr>
                <w:rFonts w:ascii="Verdana" w:hAnsi="Verdana" w:cs="Arial"/>
                <w:sz w:val="22"/>
                <w:szCs w:val="22"/>
              </w:rPr>
              <w:t>Risk management</w:t>
            </w:r>
          </w:p>
          <w:p w14:paraId="79CE2C52" w14:textId="77777777" w:rsidR="00D52119" w:rsidRPr="007D6D9E" w:rsidRDefault="00D52119" w:rsidP="00CA68EC">
            <w:pPr>
              <w:pStyle w:val="ListParagraph"/>
              <w:numPr>
                <w:ilvl w:val="0"/>
                <w:numId w:val="8"/>
              </w:numPr>
              <w:jc w:val="both"/>
              <w:rPr>
                <w:rFonts w:ascii="Verdana" w:hAnsi="Verdana" w:cs="Arial"/>
                <w:sz w:val="22"/>
                <w:szCs w:val="22"/>
              </w:rPr>
            </w:pPr>
            <w:r w:rsidRPr="007D6D9E">
              <w:rPr>
                <w:rFonts w:ascii="Verdana" w:hAnsi="Verdana" w:cs="Arial"/>
                <w:sz w:val="22"/>
                <w:szCs w:val="22"/>
              </w:rPr>
              <w:t>Clinical audit</w:t>
            </w:r>
          </w:p>
          <w:p w14:paraId="758730EF" w14:textId="77777777" w:rsidR="00D52119" w:rsidRPr="007D6D9E" w:rsidRDefault="00D52119" w:rsidP="00CA68EC">
            <w:pPr>
              <w:pStyle w:val="ListParagraph"/>
              <w:numPr>
                <w:ilvl w:val="0"/>
                <w:numId w:val="8"/>
              </w:numPr>
              <w:jc w:val="both"/>
              <w:rPr>
                <w:rFonts w:ascii="Verdana" w:hAnsi="Verdana" w:cs="Arial"/>
                <w:sz w:val="22"/>
                <w:szCs w:val="22"/>
              </w:rPr>
            </w:pPr>
            <w:r w:rsidRPr="007D6D9E">
              <w:rPr>
                <w:rFonts w:ascii="Verdana" w:hAnsi="Verdana" w:cs="Arial"/>
                <w:sz w:val="22"/>
                <w:szCs w:val="22"/>
              </w:rPr>
              <w:t>Education, training and continuing professional development</w:t>
            </w:r>
          </w:p>
          <w:p w14:paraId="5E6D376F" w14:textId="77777777" w:rsidR="00D52119" w:rsidRPr="007D6D9E" w:rsidRDefault="00D52119" w:rsidP="00CA68EC">
            <w:pPr>
              <w:pStyle w:val="ListParagraph"/>
              <w:numPr>
                <w:ilvl w:val="0"/>
                <w:numId w:val="8"/>
              </w:numPr>
              <w:jc w:val="both"/>
              <w:rPr>
                <w:rFonts w:ascii="Verdana" w:hAnsi="Verdana" w:cs="Arial"/>
                <w:sz w:val="22"/>
                <w:szCs w:val="22"/>
              </w:rPr>
            </w:pPr>
            <w:r w:rsidRPr="007D6D9E">
              <w:rPr>
                <w:rFonts w:ascii="Verdana" w:hAnsi="Verdana" w:cs="Arial"/>
                <w:sz w:val="22"/>
                <w:szCs w:val="22"/>
              </w:rPr>
              <w:t>Evidence based care and effectiveness</w:t>
            </w:r>
          </w:p>
          <w:p w14:paraId="1EF48BD9" w14:textId="77777777" w:rsidR="00D52119" w:rsidRPr="007D6D9E" w:rsidRDefault="00D52119" w:rsidP="00CA68EC">
            <w:pPr>
              <w:pStyle w:val="ListParagraph"/>
              <w:numPr>
                <w:ilvl w:val="0"/>
                <w:numId w:val="8"/>
              </w:numPr>
              <w:jc w:val="both"/>
              <w:rPr>
                <w:rFonts w:ascii="Verdana" w:hAnsi="Verdana" w:cs="Arial"/>
                <w:sz w:val="22"/>
                <w:szCs w:val="22"/>
              </w:rPr>
            </w:pPr>
            <w:r w:rsidRPr="007D6D9E">
              <w:rPr>
                <w:rFonts w:ascii="Verdana" w:hAnsi="Verdana" w:cs="Arial"/>
                <w:sz w:val="22"/>
                <w:szCs w:val="22"/>
              </w:rPr>
              <w:lastRenderedPageBreak/>
              <w:t>Patient and carer experience and involvement</w:t>
            </w:r>
          </w:p>
          <w:p w14:paraId="26A5B43D" w14:textId="77777777" w:rsidR="00D52119" w:rsidRPr="007D6D9E" w:rsidRDefault="00D52119" w:rsidP="00CA68EC">
            <w:pPr>
              <w:pStyle w:val="ListParagraph"/>
              <w:numPr>
                <w:ilvl w:val="0"/>
                <w:numId w:val="8"/>
              </w:numPr>
              <w:jc w:val="both"/>
              <w:rPr>
                <w:rFonts w:ascii="Verdana" w:hAnsi="Verdana" w:cs="Arial"/>
                <w:sz w:val="22"/>
                <w:szCs w:val="22"/>
              </w:rPr>
            </w:pPr>
            <w:r w:rsidRPr="007D6D9E">
              <w:rPr>
                <w:rFonts w:ascii="Verdana" w:hAnsi="Verdana" w:cs="Arial"/>
                <w:sz w:val="22"/>
                <w:szCs w:val="22"/>
              </w:rPr>
              <w:t>Staffing and staff management</w:t>
            </w:r>
          </w:p>
          <w:p w14:paraId="3EAA66CB" w14:textId="77777777" w:rsidR="00D52119" w:rsidRPr="007D6D9E" w:rsidRDefault="00D52119" w:rsidP="00D52119">
            <w:pPr>
              <w:pStyle w:val="MMCallout1"/>
              <w:numPr>
                <w:ilvl w:val="0"/>
                <w:numId w:val="0"/>
              </w:numPr>
              <w:spacing w:after="0" w:line="240" w:lineRule="auto"/>
              <w:ind w:left="360"/>
              <w:jc w:val="left"/>
              <w:rPr>
                <w:rFonts w:ascii="Verdana" w:hAnsi="Verdana" w:cs="Arial"/>
                <w:lang w:val="en-US"/>
              </w:rPr>
            </w:pPr>
          </w:p>
          <w:p w14:paraId="759D09A0" w14:textId="061A6BE8" w:rsidR="00BF5FE1" w:rsidRPr="007D6D9E" w:rsidRDefault="00BF5FE1" w:rsidP="00CA68EC">
            <w:pPr>
              <w:pStyle w:val="MMCallout1"/>
              <w:numPr>
                <w:ilvl w:val="0"/>
                <w:numId w:val="5"/>
              </w:numPr>
              <w:spacing w:after="0" w:line="240" w:lineRule="auto"/>
              <w:jc w:val="left"/>
              <w:rPr>
                <w:rFonts w:ascii="Verdana" w:hAnsi="Verdana" w:cs="Arial"/>
                <w:lang w:val="en-US"/>
              </w:rPr>
            </w:pPr>
            <w:r w:rsidRPr="007D6D9E">
              <w:rPr>
                <w:rFonts w:ascii="Verdana" w:hAnsi="Verdana" w:cs="Arial"/>
                <w:lang w:val="en-US"/>
              </w:rPr>
              <w:t xml:space="preserve">A designated lead clinician will be accountable for the service </w:t>
            </w:r>
            <w:r w:rsidRPr="007D6D9E">
              <w:rPr>
                <w:rFonts w:ascii="Verdana" w:hAnsi="Verdana" w:cs="Arial"/>
                <w:b/>
                <w:bCs/>
                <w:lang w:val="en-US"/>
              </w:rPr>
              <w:t>[enter designated lead here].</w:t>
            </w:r>
          </w:p>
          <w:p w14:paraId="50670875" w14:textId="77777777" w:rsidR="003318E7" w:rsidRPr="007D6D9E" w:rsidRDefault="009D37F6" w:rsidP="00CA68EC">
            <w:pPr>
              <w:pStyle w:val="ListParagraph"/>
              <w:numPr>
                <w:ilvl w:val="0"/>
                <w:numId w:val="5"/>
              </w:numPr>
              <w:spacing w:after="120"/>
              <w:jc w:val="both"/>
              <w:rPr>
                <w:rFonts w:ascii="Verdana" w:hAnsi="Verdana"/>
                <w:color w:val="000000" w:themeColor="text1"/>
                <w:sz w:val="22"/>
                <w:szCs w:val="22"/>
              </w:rPr>
            </w:pPr>
            <w:r w:rsidRPr="007D6D9E">
              <w:rPr>
                <w:rFonts w:ascii="Verdana" w:hAnsi="Verdana" w:cs="Arial"/>
                <w:sz w:val="22"/>
                <w:szCs w:val="22"/>
              </w:rPr>
              <w:t xml:space="preserve">The </w:t>
            </w:r>
            <w:r w:rsidR="002F6505" w:rsidRPr="007D6D9E">
              <w:rPr>
                <w:rFonts w:ascii="Verdana" w:hAnsi="Verdana" w:cs="Arial"/>
                <w:sz w:val="22"/>
                <w:szCs w:val="22"/>
              </w:rPr>
              <w:t xml:space="preserve">FLS </w:t>
            </w:r>
            <w:r w:rsidR="001521A8" w:rsidRPr="007D6D9E">
              <w:rPr>
                <w:rFonts w:ascii="Verdana" w:hAnsi="Verdana" w:cs="Arial"/>
                <w:sz w:val="22"/>
                <w:szCs w:val="22"/>
              </w:rPr>
              <w:t>practitioners will meet</w:t>
            </w:r>
            <w:r w:rsidRPr="007D6D9E">
              <w:rPr>
                <w:rFonts w:ascii="Verdana" w:hAnsi="Verdana" w:cs="Arial"/>
                <w:sz w:val="22"/>
                <w:szCs w:val="22"/>
              </w:rPr>
              <w:t xml:space="preserve"> </w:t>
            </w:r>
            <w:r w:rsidR="001521A8" w:rsidRPr="007D6D9E">
              <w:rPr>
                <w:rFonts w:ascii="Verdana" w:hAnsi="Verdana" w:cs="Arial"/>
                <w:sz w:val="22"/>
                <w:szCs w:val="22"/>
              </w:rPr>
              <w:t>with the clinical lead and wider bone health team</w:t>
            </w:r>
            <w:r w:rsidR="00283691" w:rsidRPr="007D6D9E">
              <w:rPr>
                <w:rFonts w:ascii="Verdana" w:hAnsi="Verdana" w:cs="Arial"/>
                <w:sz w:val="22"/>
                <w:szCs w:val="22"/>
              </w:rPr>
              <w:t xml:space="preserve"> </w:t>
            </w:r>
            <w:r w:rsidRPr="007D6D9E">
              <w:rPr>
                <w:rFonts w:ascii="Verdana" w:hAnsi="Verdana" w:cs="Arial"/>
                <w:sz w:val="22"/>
                <w:szCs w:val="22"/>
              </w:rPr>
              <w:t>on a monthly basis</w:t>
            </w:r>
            <w:r w:rsidR="00283691" w:rsidRPr="007D6D9E">
              <w:rPr>
                <w:rFonts w:ascii="Verdana" w:hAnsi="Verdana" w:cs="Arial"/>
                <w:sz w:val="22"/>
                <w:szCs w:val="22"/>
              </w:rPr>
              <w:t xml:space="preserve"> </w:t>
            </w:r>
            <w:r w:rsidR="003318E7" w:rsidRPr="007D6D9E">
              <w:rPr>
                <w:rFonts w:ascii="Verdana" w:hAnsi="Verdana" w:cs="Arial"/>
                <w:sz w:val="22"/>
                <w:szCs w:val="22"/>
              </w:rPr>
              <w:t xml:space="preserve">to discuss operational and quality issues. </w:t>
            </w:r>
          </w:p>
          <w:p w14:paraId="11E86C41" w14:textId="196EF2D8" w:rsidR="00983B81" w:rsidRPr="007D6D9E" w:rsidRDefault="00983B81" w:rsidP="00CA68EC">
            <w:pPr>
              <w:pStyle w:val="ListParagraph"/>
              <w:numPr>
                <w:ilvl w:val="0"/>
                <w:numId w:val="5"/>
              </w:numPr>
              <w:spacing w:after="120"/>
              <w:jc w:val="both"/>
              <w:rPr>
                <w:rFonts w:ascii="Verdana" w:hAnsi="Verdana"/>
                <w:color w:val="000000" w:themeColor="text1"/>
                <w:sz w:val="22"/>
                <w:szCs w:val="22"/>
              </w:rPr>
            </w:pPr>
            <w:r w:rsidRPr="007D6D9E">
              <w:rPr>
                <w:rFonts w:ascii="Verdana" w:hAnsi="Verdana" w:cs="Arial"/>
                <w:sz w:val="22"/>
                <w:szCs w:val="22"/>
              </w:rPr>
              <w:t xml:space="preserve">All FLS clinical staff </w:t>
            </w:r>
            <w:r w:rsidRPr="007D6D9E">
              <w:rPr>
                <w:rFonts w:ascii="Verdana" w:hAnsi="Verdana"/>
                <w:sz w:val="22"/>
                <w:szCs w:val="22"/>
              </w:rPr>
              <w:t xml:space="preserve">will participate in Continuing Professional </w:t>
            </w:r>
            <w:r w:rsidRPr="007D6D9E">
              <w:rPr>
                <w:rFonts w:ascii="Verdana" w:hAnsi="Verdana"/>
                <w:color w:val="000000" w:themeColor="text1"/>
                <w:sz w:val="22"/>
                <w:szCs w:val="22"/>
              </w:rPr>
              <w:t xml:space="preserve">Development, including attendance at relevant regional and national meetings.  As a minimum, all clinical staff should undertake the Royal Osteoporosis Society’s foundation and advanced Fracture Prevention Practitioner on-line training modules and pass the associated on-line assessments.  After a relevant period of training they should also demonstrate </w:t>
            </w:r>
            <w:r w:rsidRPr="007D6D9E">
              <w:rPr>
                <w:rFonts w:ascii="Verdana" w:hAnsi="Verdana"/>
                <w:sz w:val="22"/>
                <w:szCs w:val="22"/>
              </w:rPr>
              <w:t>the necessary professional competencies commensurate with their grade and experience, in accordance with the Royal Osteoporosis Society’s Competency Framework for Health Professionals Working in Fracture Prevention (2017)</w:t>
            </w:r>
            <w:r w:rsidR="007A4B86" w:rsidRPr="007D6D9E">
              <w:rPr>
                <w:rFonts w:ascii="Verdana" w:hAnsi="Verdana"/>
                <w:sz w:val="22"/>
                <w:szCs w:val="22"/>
              </w:rPr>
              <w:t>.</w:t>
            </w:r>
          </w:p>
          <w:p w14:paraId="3304136B" w14:textId="22282A47" w:rsidR="006B3563" w:rsidRPr="007D6D9E" w:rsidRDefault="006B3563" w:rsidP="00CA68EC">
            <w:pPr>
              <w:pStyle w:val="BodyText2"/>
              <w:numPr>
                <w:ilvl w:val="0"/>
                <w:numId w:val="5"/>
              </w:numPr>
              <w:spacing w:line="240" w:lineRule="auto"/>
              <w:jc w:val="both"/>
              <w:rPr>
                <w:rFonts w:ascii="Verdana" w:hAnsi="Verdana"/>
                <w:color w:val="000000" w:themeColor="text1"/>
                <w:sz w:val="22"/>
                <w:szCs w:val="22"/>
              </w:rPr>
            </w:pPr>
            <w:r w:rsidRPr="007D6D9E">
              <w:rPr>
                <w:rFonts w:ascii="Verdana" w:hAnsi="Verdana" w:cs="Arial"/>
                <w:sz w:val="22"/>
                <w:szCs w:val="22"/>
              </w:rPr>
              <w:t xml:space="preserve">Annual appraisal and personal development plans </w:t>
            </w:r>
            <w:r w:rsidR="00CE1474" w:rsidRPr="007D6D9E">
              <w:rPr>
                <w:rFonts w:ascii="Verdana" w:hAnsi="Verdana" w:cs="Arial"/>
                <w:sz w:val="22"/>
                <w:szCs w:val="22"/>
              </w:rPr>
              <w:t xml:space="preserve">should be in place </w:t>
            </w:r>
            <w:r w:rsidRPr="007D6D9E">
              <w:rPr>
                <w:rFonts w:ascii="Verdana" w:hAnsi="Verdana" w:cs="Arial"/>
                <w:sz w:val="22"/>
                <w:szCs w:val="22"/>
              </w:rPr>
              <w:t xml:space="preserve">for all staff (qualified and unqualified) working within the service. Mandatory core and essential skills training </w:t>
            </w:r>
            <w:r w:rsidR="00CE1474" w:rsidRPr="007D6D9E">
              <w:rPr>
                <w:rFonts w:ascii="Verdana" w:hAnsi="Verdana" w:cs="Arial"/>
                <w:sz w:val="22"/>
                <w:szCs w:val="22"/>
              </w:rPr>
              <w:t xml:space="preserve">must be undertaken </w:t>
            </w:r>
            <w:r w:rsidRPr="007D6D9E">
              <w:rPr>
                <w:rFonts w:ascii="Verdana" w:hAnsi="Verdana" w:cs="Arial"/>
                <w:sz w:val="22"/>
                <w:szCs w:val="22"/>
              </w:rPr>
              <w:t>in accordance with the Trust policy</w:t>
            </w:r>
            <w:r w:rsidR="00442867" w:rsidRPr="007D6D9E">
              <w:rPr>
                <w:rFonts w:ascii="Verdana" w:hAnsi="Verdana" w:cs="Arial"/>
                <w:sz w:val="22"/>
                <w:szCs w:val="22"/>
              </w:rPr>
              <w:t>.</w:t>
            </w:r>
            <w:r w:rsidRPr="007D6D9E">
              <w:rPr>
                <w:rFonts w:ascii="Verdana" w:hAnsi="Verdana" w:cs="Arial"/>
                <w:sz w:val="22"/>
                <w:szCs w:val="22"/>
              </w:rPr>
              <w:t xml:space="preserve">  </w:t>
            </w:r>
          </w:p>
          <w:p w14:paraId="2E45A1F5" w14:textId="7A3A00FE" w:rsidR="00732012" w:rsidRPr="007D6D9E" w:rsidRDefault="00BB3B60" w:rsidP="00CA68EC">
            <w:pPr>
              <w:pStyle w:val="ListParagraph"/>
              <w:numPr>
                <w:ilvl w:val="0"/>
                <w:numId w:val="5"/>
              </w:numPr>
              <w:spacing w:after="120"/>
              <w:rPr>
                <w:rFonts w:ascii="Verdana" w:hAnsi="Verdana"/>
                <w:sz w:val="22"/>
                <w:szCs w:val="22"/>
              </w:rPr>
            </w:pPr>
            <w:r w:rsidRPr="007D6D9E">
              <w:rPr>
                <w:rFonts w:ascii="Verdana" w:hAnsi="Verdana"/>
                <w:color w:val="000000" w:themeColor="text1"/>
                <w:sz w:val="22"/>
                <w:szCs w:val="22"/>
              </w:rPr>
              <w:t>A</w:t>
            </w:r>
            <w:r w:rsidRPr="007D6D9E">
              <w:rPr>
                <w:rFonts w:ascii="Verdana" w:hAnsi="Verdana"/>
                <w:sz w:val="22"/>
                <w:szCs w:val="22"/>
                <w:lang w:val="en-US"/>
              </w:rPr>
              <w:t xml:space="preserve"> quality assurance </w:t>
            </w:r>
            <w:r w:rsidR="000874CB" w:rsidRPr="007D6D9E">
              <w:rPr>
                <w:rFonts w:ascii="Verdana" w:hAnsi="Verdana"/>
                <w:sz w:val="22"/>
                <w:szCs w:val="22"/>
                <w:lang w:val="en-US"/>
              </w:rPr>
              <w:t>f</w:t>
            </w:r>
            <w:r w:rsidRPr="007D6D9E">
              <w:rPr>
                <w:rFonts w:ascii="Verdana" w:hAnsi="Verdana"/>
                <w:sz w:val="22"/>
                <w:szCs w:val="22"/>
                <w:lang w:val="en-US"/>
              </w:rPr>
              <w:t>ramework will be in place</w:t>
            </w:r>
            <w:r w:rsidR="000874CB" w:rsidRPr="007D6D9E">
              <w:rPr>
                <w:rFonts w:ascii="Verdana" w:hAnsi="Verdana"/>
                <w:sz w:val="22"/>
                <w:szCs w:val="22"/>
                <w:lang w:val="en-US"/>
              </w:rPr>
              <w:t xml:space="preserve"> to support continuous improvement. This will</w:t>
            </w:r>
            <w:r w:rsidRPr="007D6D9E">
              <w:rPr>
                <w:rFonts w:ascii="Verdana" w:hAnsi="Verdana"/>
                <w:sz w:val="22"/>
                <w:szCs w:val="22"/>
                <w:lang w:val="en-US"/>
              </w:rPr>
              <w:t xml:space="preserve"> include:</w:t>
            </w:r>
          </w:p>
          <w:p w14:paraId="481DBA25" w14:textId="47563F81" w:rsidR="00732012" w:rsidRPr="007D6D9E" w:rsidRDefault="00FE7B4F" w:rsidP="00CA68EC">
            <w:pPr>
              <w:pStyle w:val="MMCallout1"/>
              <w:numPr>
                <w:ilvl w:val="0"/>
                <w:numId w:val="5"/>
              </w:numPr>
              <w:spacing w:after="0" w:line="240" w:lineRule="auto"/>
              <w:jc w:val="left"/>
              <w:rPr>
                <w:rFonts w:ascii="Verdana" w:hAnsi="Verdana" w:cs="Arial"/>
                <w:lang w:val="en-US"/>
              </w:rPr>
            </w:pPr>
            <w:r w:rsidRPr="007D6D9E">
              <w:rPr>
                <w:rFonts w:ascii="Verdana" w:hAnsi="Verdana" w:cs="Arial"/>
              </w:rPr>
              <w:t>M</w:t>
            </w:r>
            <w:r w:rsidR="00732012" w:rsidRPr="007D6D9E">
              <w:rPr>
                <w:rFonts w:ascii="Verdana" w:hAnsi="Verdana" w:cs="Arial"/>
              </w:rPr>
              <w:t>aintain</w:t>
            </w:r>
            <w:r w:rsidRPr="007D6D9E">
              <w:rPr>
                <w:rFonts w:ascii="Verdana" w:hAnsi="Verdana" w:cs="Arial"/>
              </w:rPr>
              <w:t>ing</w:t>
            </w:r>
            <w:r w:rsidR="00732012" w:rsidRPr="007D6D9E">
              <w:rPr>
                <w:rFonts w:ascii="Verdana" w:hAnsi="Verdana" w:cs="Arial"/>
              </w:rPr>
              <w:t xml:space="preserve"> a database of patients assessed through the service to support follow up</w:t>
            </w:r>
            <w:r w:rsidR="00E82265" w:rsidRPr="007D6D9E">
              <w:rPr>
                <w:rFonts w:ascii="Verdana" w:hAnsi="Verdana" w:cs="Arial"/>
              </w:rPr>
              <w:t>, quality reporting and outcomes</w:t>
            </w:r>
            <w:r w:rsidR="00732012" w:rsidRPr="007D6D9E">
              <w:rPr>
                <w:rFonts w:ascii="Verdana" w:hAnsi="Verdana" w:cs="Arial"/>
              </w:rPr>
              <w:t xml:space="preserve">.  </w:t>
            </w:r>
          </w:p>
          <w:p w14:paraId="18DE344D" w14:textId="775DB960" w:rsidR="00BB3B60" w:rsidRPr="007D6D9E" w:rsidRDefault="00BB3B60" w:rsidP="00CA68EC">
            <w:pPr>
              <w:pStyle w:val="MMCallout1"/>
              <w:numPr>
                <w:ilvl w:val="0"/>
                <w:numId w:val="5"/>
              </w:numPr>
              <w:spacing w:after="0" w:line="240" w:lineRule="auto"/>
              <w:jc w:val="left"/>
              <w:rPr>
                <w:rFonts w:ascii="Verdana" w:hAnsi="Verdana" w:cs="Arial"/>
                <w:lang w:val="en-US"/>
              </w:rPr>
            </w:pPr>
            <w:r w:rsidRPr="007D6D9E">
              <w:rPr>
                <w:rFonts w:ascii="Verdana" w:hAnsi="Verdana" w:cs="Arial"/>
                <w:lang w:val="en-US"/>
              </w:rPr>
              <w:t xml:space="preserve">Participation in </w:t>
            </w:r>
            <w:r w:rsidR="002A7729" w:rsidRPr="007D6D9E">
              <w:rPr>
                <w:rFonts w:ascii="Verdana" w:hAnsi="Verdana" w:cs="Arial"/>
                <w:lang w:val="en-US"/>
              </w:rPr>
              <w:t xml:space="preserve">relevant </w:t>
            </w:r>
            <w:r w:rsidRPr="007D6D9E">
              <w:rPr>
                <w:rFonts w:ascii="Verdana" w:hAnsi="Verdana" w:cs="Arial"/>
                <w:lang w:val="en-US"/>
              </w:rPr>
              <w:t xml:space="preserve">national </w:t>
            </w:r>
            <w:r w:rsidR="002A7729" w:rsidRPr="007D6D9E">
              <w:rPr>
                <w:rFonts w:ascii="Verdana" w:hAnsi="Verdana" w:cs="Arial"/>
                <w:lang w:val="en-US"/>
              </w:rPr>
              <w:t xml:space="preserve">clinical </w:t>
            </w:r>
            <w:r w:rsidRPr="007D6D9E">
              <w:rPr>
                <w:rFonts w:ascii="Verdana" w:hAnsi="Verdana" w:cs="Arial"/>
                <w:lang w:val="en-US"/>
              </w:rPr>
              <w:t xml:space="preserve">audits, for </w:t>
            </w:r>
            <w:r w:rsidRPr="007D6D9E">
              <w:rPr>
                <w:rFonts w:ascii="Verdana" w:hAnsi="Verdana"/>
              </w:rPr>
              <w:t>example</w:t>
            </w:r>
            <w:r w:rsidR="00732012" w:rsidRPr="007D6D9E">
              <w:rPr>
                <w:rFonts w:ascii="Verdana" w:hAnsi="Verdana" w:cs="Arial"/>
                <w:lang w:val="en-US"/>
              </w:rPr>
              <w:t xml:space="preserve"> </w:t>
            </w:r>
            <w:r w:rsidR="00732012" w:rsidRPr="007D6D9E">
              <w:rPr>
                <w:rFonts w:ascii="Verdana" w:hAnsi="Verdana" w:cs="Arial"/>
              </w:rPr>
              <w:t>the Fracture Liaison Service Database (FLS-DB), part of the national Falls and Fragility Fracture Audit Programme (FFFAP), commissioned by the Healthcare Quality Improvement Partnership (HQIP) and managed by the Royal College of Physicians (RCP)</w:t>
            </w:r>
            <w:r w:rsidR="009806F7" w:rsidRPr="007D6D9E">
              <w:rPr>
                <w:rFonts w:ascii="Verdana" w:hAnsi="Verdana" w:cs="Arial"/>
              </w:rPr>
              <w:t>.</w:t>
            </w:r>
          </w:p>
          <w:p w14:paraId="7885ACFF" w14:textId="63F2372A" w:rsidR="002F75E4" w:rsidRPr="007D6D9E" w:rsidRDefault="00732007" w:rsidP="00CA68EC">
            <w:pPr>
              <w:pStyle w:val="MMCallout1"/>
              <w:numPr>
                <w:ilvl w:val="0"/>
                <w:numId w:val="5"/>
              </w:numPr>
              <w:spacing w:after="0" w:line="240" w:lineRule="auto"/>
              <w:jc w:val="left"/>
              <w:rPr>
                <w:rFonts w:ascii="Verdana" w:hAnsi="Verdana" w:cs="Arial"/>
                <w:lang w:val="en-US"/>
              </w:rPr>
            </w:pPr>
            <w:r w:rsidRPr="007D6D9E">
              <w:rPr>
                <w:rFonts w:ascii="Verdana" w:hAnsi="Verdana" w:cs="Arial"/>
                <w:lang w:val="en-US"/>
              </w:rPr>
              <w:t>U</w:t>
            </w:r>
            <w:r w:rsidR="00C0483F" w:rsidRPr="007D6D9E">
              <w:rPr>
                <w:rFonts w:ascii="Verdana" w:hAnsi="Verdana" w:cs="Arial"/>
                <w:lang w:val="en-US"/>
              </w:rPr>
              <w:t xml:space="preserve">ndertaking </w:t>
            </w:r>
            <w:r w:rsidRPr="007D6D9E">
              <w:rPr>
                <w:rFonts w:ascii="Verdana" w:hAnsi="Verdana" w:cs="Arial"/>
                <w:lang w:val="en-US"/>
              </w:rPr>
              <w:t xml:space="preserve">and acting upon the results </w:t>
            </w:r>
            <w:r w:rsidR="00C0483F" w:rsidRPr="007D6D9E">
              <w:rPr>
                <w:rFonts w:ascii="Verdana" w:hAnsi="Verdana" w:cs="Arial"/>
                <w:lang w:val="en-US"/>
              </w:rPr>
              <w:t>of regular p</w:t>
            </w:r>
            <w:r w:rsidR="00BB3B60" w:rsidRPr="007D6D9E">
              <w:rPr>
                <w:rFonts w:ascii="Verdana" w:hAnsi="Verdana" w:cs="Arial"/>
                <w:lang w:val="en-US"/>
              </w:rPr>
              <w:t xml:space="preserve">atient experience </w:t>
            </w:r>
            <w:r w:rsidR="00C0483F" w:rsidRPr="007D6D9E">
              <w:rPr>
                <w:rFonts w:ascii="Verdana" w:hAnsi="Verdana" w:cs="Arial"/>
                <w:lang w:val="en-US"/>
              </w:rPr>
              <w:t>and satisfaction surveys</w:t>
            </w:r>
            <w:r w:rsidRPr="007D6D9E">
              <w:rPr>
                <w:rFonts w:ascii="Verdana" w:hAnsi="Verdana" w:cs="Arial"/>
                <w:lang w:val="en-US"/>
              </w:rPr>
              <w:t xml:space="preserve">. </w:t>
            </w:r>
          </w:p>
          <w:p w14:paraId="092A55EA" w14:textId="77777777" w:rsidR="008E16FF" w:rsidRPr="007D6D9E" w:rsidRDefault="008E16FF" w:rsidP="008E16FF">
            <w:pPr>
              <w:pStyle w:val="MMCallout1"/>
              <w:numPr>
                <w:ilvl w:val="0"/>
                <w:numId w:val="0"/>
              </w:numPr>
              <w:autoSpaceDE w:val="0"/>
              <w:autoSpaceDN w:val="0"/>
              <w:adjustRightInd w:val="0"/>
              <w:spacing w:after="0" w:line="240" w:lineRule="auto"/>
              <w:ind w:left="360"/>
              <w:rPr>
                <w:rFonts w:ascii="Verdana" w:hAnsi="Verdana" w:cs="Arial"/>
                <w:b/>
                <w:color w:val="009966"/>
              </w:rPr>
            </w:pPr>
          </w:p>
          <w:p w14:paraId="4921A21F" w14:textId="135BA6B9" w:rsidR="00270BD2" w:rsidRPr="007D6D9E" w:rsidRDefault="00E3678F" w:rsidP="00E3678F">
            <w:pPr>
              <w:spacing w:after="120"/>
              <w:rPr>
                <w:rFonts w:ascii="Verdana" w:hAnsi="Verdana" w:cs="Arial"/>
                <w:b/>
                <w:color w:val="009966"/>
                <w:sz w:val="22"/>
                <w:szCs w:val="22"/>
                <w:lang w:val="en-GB"/>
              </w:rPr>
            </w:pPr>
            <w:r w:rsidRPr="007D6D9E">
              <w:rPr>
                <w:rFonts w:ascii="Verdana" w:hAnsi="Verdana" w:cs="Arial"/>
                <w:b/>
                <w:color w:val="009966"/>
                <w:sz w:val="22"/>
                <w:szCs w:val="22"/>
                <w:lang w:val="en-GB"/>
              </w:rPr>
              <w:t xml:space="preserve">3.3 </w:t>
            </w:r>
            <w:r w:rsidR="00270BD2" w:rsidRPr="007D6D9E">
              <w:rPr>
                <w:rFonts w:ascii="Verdana" w:hAnsi="Verdana" w:cs="Arial"/>
                <w:b/>
                <w:color w:val="009966"/>
                <w:sz w:val="22"/>
                <w:szCs w:val="22"/>
                <w:lang w:val="en-GB"/>
              </w:rPr>
              <w:t>Service Delivery</w:t>
            </w:r>
          </w:p>
          <w:p w14:paraId="2A556E3B" w14:textId="77777777" w:rsidR="00E704E1" w:rsidRPr="007D6D9E" w:rsidRDefault="00E85AA4" w:rsidP="00CA68EC">
            <w:pPr>
              <w:pStyle w:val="ListParagraph"/>
              <w:numPr>
                <w:ilvl w:val="0"/>
                <w:numId w:val="5"/>
              </w:numPr>
              <w:spacing w:after="120"/>
              <w:jc w:val="both"/>
              <w:rPr>
                <w:rFonts w:ascii="Verdana" w:hAnsi="Verdana" w:cs="Arial"/>
                <w:color w:val="000000" w:themeColor="text1"/>
                <w:sz w:val="22"/>
                <w:szCs w:val="22"/>
              </w:rPr>
            </w:pPr>
            <w:r w:rsidRPr="007D6D9E">
              <w:rPr>
                <w:rFonts w:ascii="Verdana" w:hAnsi="Verdana" w:cs="Arial"/>
                <w:color w:val="000000" w:themeColor="text1"/>
                <w:sz w:val="22"/>
                <w:szCs w:val="22"/>
              </w:rPr>
              <w:t xml:space="preserve">The service shall operate </w:t>
            </w:r>
            <w:r w:rsidRPr="007D6D9E">
              <w:rPr>
                <w:rFonts w:ascii="Verdana" w:hAnsi="Verdana" w:cs="Arial"/>
                <w:b/>
                <w:color w:val="000000" w:themeColor="text1"/>
                <w:sz w:val="22"/>
                <w:szCs w:val="22"/>
              </w:rPr>
              <w:t>[insert hours/days here]</w:t>
            </w:r>
          </w:p>
          <w:p w14:paraId="0B965975" w14:textId="0E2C1370" w:rsidR="00E704E1" w:rsidRPr="007D6D9E" w:rsidRDefault="00040C4D" w:rsidP="00CA68EC">
            <w:pPr>
              <w:pStyle w:val="ListParagraph"/>
              <w:numPr>
                <w:ilvl w:val="0"/>
                <w:numId w:val="5"/>
              </w:numPr>
              <w:spacing w:after="120"/>
              <w:jc w:val="both"/>
              <w:rPr>
                <w:rFonts w:ascii="Verdana" w:hAnsi="Verdana" w:cs="Arial"/>
                <w:color w:val="000000" w:themeColor="text1"/>
                <w:sz w:val="22"/>
                <w:szCs w:val="22"/>
              </w:rPr>
            </w:pPr>
            <w:r w:rsidRPr="007D6D9E">
              <w:rPr>
                <w:rFonts w:ascii="Verdana" w:hAnsi="Verdana" w:cs="Arial"/>
                <w:color w:val="000000" w:themeColor="text1"/>
                <w:sz w:val="22"/>
                <w:szCs w:val="22"/>
              </w:rPr>
              <w:t>T</w:t>
            </w:r>
            <w:r w:rsidR="00C11201" w:rsidRPr="007D6D9E">
              <w:rPr>
                <w:rFonts w:ascii="Verdana" w:hAnsi="Verdana" w:cs="Arial"/>
                <w:color w:val="000000" w:themeColor="text1"/>
                <w:sz w:val="22"/>
                <w:szCs w:val="22"/>
              </w:rPr>
              <w:t>he service shall carry out a</w:t>
            </w:r>
            <w:r w:rsidRPr="007D6D9E">
              <w:rPr>
                <w:rFonts w:ascii="Verdana" w:hAnsi="Verdana" w:cs="Arial"/>
                <w:color w:val="000000" w:themeColor="text1"/>
                <w:sz w:val="22"/>
                <w:szCs w:val="22"/>
              </w:rPr>
              <w:t xml:space="preserve"> comprehensive, multifactorial bone health assessment </w:t>
            </w:r>
            <w:r w:rsidR="00C11201" w:rsidRPr="007D6D9E">
              <w:rPr>
                <w:rFonts w:ascii="Verdana" w:hAnsi="Verdana" w:cs="Arial"/>
                <w:color w:val="000000" w:themeColor="text1"/>
                <w:sz w:val="22"/>
                <w:szCs w:val="22"/>
              </w:rPr>
              <w:t xml:space="preserve">within </w:t>
            </w:r>
            <w:r w:rsidRPr="007D6D9E">
              <w:rPr>
                <w:rFonts w:ascii="Verdana" w:hAnsi="Verdana" w:cs="Arial"/>
                <w:color w:val="000000" w:themeColor="text1"/>
                <w:sz w:val="22"/>
                <w:szCs w:val="22"/>
              </w:rPr>
              <w:t>12 weeks of the fragility fracture.</w:t>
            </w:r>
          </w:p>
          <w:p w14:paraId="4159FBE1" w14:textId="62BEDFFC" w:rsidR="005928C9" w:rsidRPr="007D6D9E" w:rsidRDefault="005928C9" w:rsidP="00CA68EC">
            <w:pPr>
              <w:pStyle w:val="ListParagraph"/>
              <w:numPr>
                <w:ilvl w:val="0"/>
                <w:numId w:val="5"/>
              </w:numPr>
              <w:spacing w:after="120"/>
              <w:jc w:val="both"/>
              <w:rPr>
                <w:rFonts w:ascii="Verdana" w:hAnsi="Verdana" w:cs="Arial"/>
                <w:color w:val="000000" w:themeColor="text1"/>
                <w:sz w:val="22"/>
                <w:szCs w:val="22"/>
              </w:rPr>
            </w:pPr>
            <w:r w:rsidRPr="007D6D9E">
              <w:rPr>
                <w:rFonts w:ascii="Verdana" w:hAnsi="Verdana" w:cs="Arial"/>
                <w:color w:val="000000" w:themeColor="text1"/>
                <w:sz w:val="22"/>
                <w:szCs w:val="22"/>
              </w:rPr>
              <w:t xml:space="preserve">The service will follow up all patients </w:t>
            </w:r>
            <w:r w:rsidR="00750363" w:rsidRPr="007D6D9E">
              <w:rPr>
                <w:rFonts w:ascii="Verdana" w:hAnsi="Verdana" w:cs="Arial"/>
                <w:color w:val="000000" w:themeColor="text1"/>
                <w:sz w:val="22"/>
                <w:szCs w:val="22"/>
              </w:rPr>
              <w:t xml:space="preserve">recommended treatment to reduce risk of further fracture at </w:t>
            </w:r>
            <w:proofErr w:type="gramStart"/>
            <w:r w:rsidR="00750363" w:rsidRPr="007D6D9E">
              <w:rPr>
                <w:rFonts w:ascii="Verdana" w:hAnsi="Verdana" w:cs="Arial"/>
                <w:color w:val="000000" w:themeColor="text1"/>
                <w:sz w:val="22"/>
                <w:szCs w:val="22"/>
              </w:rPr>
              <w:t xml:space="preserve">16 and </w:t>
            </w:r>
            <w:r w:rsidR="00B51902" w:rsidRPr="007D6D9E">
              <w:rPr>
                <w:rFonts w:ascii="Verdana" w:hAnsi="Verdana" w:cs="Arial"/>
                <w:color w:val="000000" w:themeColor="text1"/>
                <w:sz w:val="22"/>
                <w:szCs w:val="22"/>
              </w:rPr>
              <w:t>52 weeks</w:t>
            </w:r>
            <w:proofErr w:type="gramEnd"/>
            <w:r w:rsidR="00B51902" w:rsidRPr="007D6D9E">
              <w:rPr>
                <w:rFonts w:ascii="Verdana" w:hAnsi="Verdana" w:cs="Arial"/>
                <w:color w:val="000000" w:themeColor="text1"/>
                <w:sz w:val="22"/>
                <w:szCs w:val="22"/>
              </w:rPr>
              <w:t xml:space="preserve"> post fragility fracture</w:t>
            </w:r>
          </w:p>
          <w:p w14:paraId="26203DB1" w14:textId="21BC1D11" w:rsidR="00075A83" w:rsidRPr="007D6D9E" w:rsidRDefault="004F6E3C" w:rsidP="00707AED">
            <w:pPr>
              <w:spacing w:after="120"/>
              <w:jc w:val="both"/>
              <w:rPr>
                <w:rFonts w:ascii="Verdana" w:eastAsia="Times New Roman" w:hAnsi="Verdana" w:cs="Arial"/>
                <w:b/>
                <w:color w:val="000000" w:themeColor="text1"/>
                <w:sz w:val="22"/>
                <w:szCs w:val="22"/>
                <w:lang w:val="en-GB" w:eastAsia="en-GB"/>
              </w:rPr>
            </w:pPr>
            <w:r w:rsidRPr="007D6D9E">
              <w:rPr>
                <w:rFonts w:ascii="Verdana" w:eastAsia="Times New Roman" w:hAnsi="Verdana" w:cs="Arial"/>
                <w:b/>
                <w:color w:val="000000" w:themeColor="text1"/>
                <w:sz w:val="22"/>
                <w:szCs w:val="22"/>
                <w:lang w:val="en-GB" w:eastAsia="en-GB"/>
              </w:rPr>
              <w:t>[Local discussion will be needed on</w:t>
            </w:r>
            <w:r w:rsidR="00B51902" w:rsidRPr="007D6D9E">
              <w:rPr>
                <w:rFonts w:ascii="Verdana" w:eastAsia="Times New Roman" w:hAnsi="Verdana" w:cs="Arial"/>
                <w:b/>
                <w:color w:val="000000" w:themeColor="text1"/>
                <w:sz w:val="22"/>
                <w:szCs w:val="22"/>
                <w:lang w:val="en-GB" w:eastAsia="en-GB"/>
              </w:rPr>
              <w:t xml:space="preserve"> how the service will deliver each element of the pathway i.e. face to face assessments</w:t>
            </w:r>
            <w:r w:rsidR="006D758A" w:rsidRPr="007D6D9E">
              <w:rPr>
                <w:rFonts w:ascii="Verdana" w:eastAsia="Times New Roman" w:hAnsi="Verdana" w:cs="Arial"/>
                <w:b/>
                <w:color w:val="000000" w:themeColor="text1"/>
                <w:sz w:val="22"/>
                <w:szCs w:val="22"/>
                <w:lang w:val="en-GB" w:eastAsia="en-GB"/>
              </w:rPr>
              <w:t xml:space="preserve"> </w:t>
            </w:r>
            <w:r w:rsidR="00B51902" w:rsidRPr="007D6D9E">
              <w:rPr>
                <w:rFonts w:ascii="Verdana" w:eastAsia="Times New Roman" w:hAnsi="Verdana" w:cs="Arial"/>
                <w:b/>
                <w:color w:val="000000" w:themeColor="text1"/>
                <w:sz w:val="22"/>
                <w:szCs w:val="22"/>
                <w:lang w:val="en-GB" w:eastAsia="en-GB"/>
              </w:rPr>
              <w:t>(</w:t>
            </w:r>
            <w:r w:rsidR="00CD2C9A" w:rsidRPr="007D6D9E">
              <w:rPr>
                <w:rFonts w:ascii="Verdana" w:eastAsia="Times New Roman" w:hAnsi="Verdana" w:cs="Arial"/>
                <w:b/>
                <w:color w:val="000000" w:themeColor="text1"/>
                <w:sz w:val="22"/>
                <w:szCs w:val="22"/>
                <w:lang w:val="en-GB" w:eastAsia="en-GB"/>
              </w:rPr>
              <w:t>location of these)</w:t>
            </w:r>
            <w:r w:rsidR="00B51902" w:rsidRPr="007D6D9E">
              <w:rPr>
                <w:rFonts w:ascii="Verdana" w:eastAsia="Times New Roman" w:hAnsi="Verdana" w:cs="Arial"/>
                <w:b/>
                <w:color w:val="000000" w:themeColor="text1"/>
                <w:sz w:val="22"/>
                <w:szCs w:val="22"/>
                <w:lang w:val="en-GB" w:eastAsia="en-GB"/>
              </w:rPr>
              <w:t>,</w:t>
            </w:r>
            <w:r w:rsidR="00CD2C9A" w:rsidRPr="007D6D9E">
              <w:rPr>
                <w:rFonts w:ascii="Verdana" w:eastAsia="Times New Roman" w:hAnsi="Verdana" w:cs="Arial"/>
                <w:b/>
                <w:color w:val="000000" w:themeColor="text1"/>
                <w:sz w:val="22"/>
                <w:szCs w:val="22"/>
                <w:lang w:val="en-GB" w:eastAsia="en-GB"/>
              </w:rPr>
              <w:t xml:space="preserve"> telephone</w:t>
            </w:r>
            <w:r w:rsidR="009415C1" w:rsidRPr="007D6D9E">
              <w:rPr>
                <w:rFonts w:ascii="Verdana" w:eastAsia="Times New Roman" w:hAnsi="Verdana" w:cs="Arial"/>
                <w:b/>
                <w:color w:val="000000" w:themeColor="text1"/>
                <w:sz w:val="22"/>
                <w:szCs w:val="22"/>
                <w:lang w:val="en-GB" w:eastAsia="en-GB"/>
              </w:rPr>
              <w:t xml:space="preserve">/video </w:t>
            </w:r>
            <w:r w:rsidR="00CD2C9A" w:rsidRPr="007D6D9E">
              <w:rPr>
                <w:rFonts w:ascii="Verdana" w:eastAsia="Times New Roman" w:hAnsi="Verdana" w:cs="Arial"/>
                <w:b/>
                <w:color w:val="000000" w:themeColor="text1"/>
                <w:sz w:val="22"/>
                <w:szCs w:val="22"/>
                <w:lang w:val="en-GB" w:eastAsia="en-GB"/>
              </w:rPr>
              <w:t>assessments,</w:t>
            </w:r>
            <w:r w:rsidR="00B51902" w:rsidRPr="007D6D9E">
              <w:rPr>
                <w:rFonts w:ascii="Verdana" w:eastAsia="Times New Roman" w:hAnsi="Verdana" w:cs="Arial"/>
                <w:b/>
                <w:color w:val="000000" w:themeColor="text1"/>
                <w:sz w:val="22"/>
                <w:szCs w:val="22"/>
                <w:lang w:val="en-GB" w:eastAsia="en-GB"/>
              </w:rPr>
              <w:t xml:space="preserve"> </w:t>
            </w:r>
            <w:r w:rsidR="00CD2C9A" w:rsidRPr="007D6D9E">
              <w:rPr>
                <w:rFonts w:ascii="Verdana" w:eastAsia="Times New Roman" w:hAnsi="Verdana" w:cs="Arial"/>
                <w:b/>
                <w:color w:val="000000" w:themeColor="text1"/>
                <w:sz w:val="22"/>
                <w:szCs w:val="22"/>
                <w:lang w:val="en-GB" w:eastAsia="en-GB"/>
              </w:rPr>
              <w:t>domiciliary</w:t>
            </w:r>
            <w:r w:rsidR="00B51902" w:rsidRPr="007D6D9E">
              <w:rPr>
                <w:rFonts w:ascii="Verdana" w:eastAsia="Times New Roman" w:hAnsi="Verdana" w:cs="Arial"/>
                <w:b/>
                <w:color w:val="000000" w:themeColor="text1"/>
                <w:sz w:val="22"/>
                <w:szCs w:val="22"/>
                <w:lang w:val="en-GB" w:eastAsia="en-GB"/>
              </w:rPr>
              <w:t xml:space="preserve"> visits,</w:t>
            </w:r>
            <w:r w:rsidR="00CD2C9A" w:rsidRPr="007D6D9E">
              <w:rPr>
                <w:rFonts w:ascii="Verdana" w:eastAsia="Times New Roman" w:hAnsi="Verdana" w:cs="Arial"/>
                <w:b/>
                <w:color w:val="000000" w:themeColor="text1"/>
                <w:sz w:val="22"/>
                <w:szCs w:val="22"/>
                <w:lang w:val="en-GB" w:eastAsia="en-GB"/>
              </w:rPr>
              <w:t xml:space="preserve"> questionnaires (with timescales for sending out) etc</w:t>
            </w:r>
            <w:r w:rsidRPr="007D6D9E">
              <w:rPr>
                <w:rFonts w:ascii="Verdana" w:eastAsia="Times New Roman" w:hAnsi="Verdana" w:cs="Arial"/>
                <w:b/>
                <w:color w:val="000000" w:themeColor="text1"/>
                <w:sz w:val="22"/>
                <w:szCs w:val="22"/>
                <w:lang w:val="en-GB" w:eastAsia="en-GB"/>
              </w:rPr>
              <w:t xml:space="preserve">] </w:t>
            </w:r>
          </w:p>
          <w:p w14:paraId="0FB3FEDB" w14:textId="3A827F30" w:rsidR="00075A83" w:rsidRPr="007D6D9E" w:rsidRDefault="00E3678F" w:rsidP="000B2192">
            <w:pPr>
              <w:spacing w:after="120"/>
              <w:rPr>
                <w:rFonts w:ascii="Verdana" w:hAnsi="Verdana" w:cs="Arial"/>
                <w:b/>
                <w:color w:val="009966"/>
                <w:sz w:val="22"/>
                <w:szCs w:val="22"/>
                <w:lang w:val="en-GB"/>
              </w:rPr>
            </w:pPr>
            <w:r w:rsidRPr="007D6D9E">
              <w:rPr>
                <w:rFonts w:ascii="Verdana" w:hAnsi="Verdana" w:cs="Arial"/>
                <w:b/>
                <w:color w:val="009966"/>
                <w:sz w:val="22"/>
                <w:szCs w:val="22"/>
                <w:lang w:val="en-GB"/>
              </w:rPr>
              <w:t>3.4</w:t>
            </w:r>
            <w:r w:rsidR="002957B4" w:rsidRPr="007D6D9E">
              <w:rPr>
                <w:rFonts w:ascii="Verdana" w:hAnsi="Verdana" w:cs="Arial"/>
                <w:b/>
                <w:color w:val="009966"/>
                <w:sz w:val="22"/>
                <w:szCs w:val="22"/>
                <w:lang w:val="en-GB"/>
              </w:rPr>
              <w:t xml:space="preserve"> </w:t>
            </w:r>
            <w:r w:rsidR="00075A83" w:rsidRPr="007D6D9E">
              <w:rPr>
                <w:rFonts w:ascii="Verdana" w:hAnsi="Verdana" w:cs="Arial"/>
                <w:b/>
                <w:color w:val="009966"/>
                <w:sz w:val="22"/>
                <w:szCs w:val="22"/>
                <w:lang w:val="en-GB"/>
              </w:rPr>
              <w:t>Population covered</w:t>
            </w:r>
          </w:p>
          <w:p w14:paraId="786F846F" w14:textId="75132D83" w:rsidR="00476FF5" w:rsidRPr="007D6D9E" w:rsidRDefault="00476FF5" w:rsidP="00486B75">
            <w:pPr>
              <w:spacing w:after="120"/>
              <w:jc w:val="both"/>
              <w:rPr>
                <w:rFonts w:ascii="Verdana" w:hAnsi="Verdana" w:cs="Arial"/>
                <w:sz w:val="22"/>
                <w:szCs w:val="22"/>
                <w:lang w:val="en-GB"/>
              </w:rPr>
            </w:pPr>
            <w:r w:rsidRPr="007D6D9E">
              <w:rPr>
                <w:rFonts w:ascii="Verdana" w:hAnsi="Verdana" w:cs="Arial"/>
                <w:sz w:val="22"/>
                <w:szCs w:val="22"/>
                <w:lang w:val="en-GB"/>
              </w:rPr>
              <w:t>The service will</w:t>
            </w:r>
            <w:r w:rsidR="00F95D8E" w:rsidRPr="007D6D9E">
              <w:rPr>
                <w:rFonts w:ascii="Verdana" w:hAnsi="Verdana" w:cs="Arial"/>
                <w:sz w:val="22"/>
                <w:szCs w:val="22"/>
                <w:lang w:val="en-GB"/>
              </w:rPr>
              <w:t xml:space="preserve"> assess and manage the bone </w:t>
            </w:r>
            <w:r w:rsidR="00B652F7" w:rsidRPr="007D6D9E">
              <w:rPr>
                <w:rFonts w:ascii="Verdana" w:hAnsi="Verdana" w:cs="Arial"/>
                <w:sz w:val="22"/>
                <w:szCs w:val="22"/>
                <w:lang w:val="en-GB"/>
              </w:rPr>
              <w:t xml:space="preserve">health </w:t>
            </w:r>
            <w:r w:rsidR="00F95D8E" w:rsidRPr="007D6D9E">
              <w:rPr>
                <w:rFonts w:ascii="Verdana" w:hAnsi="Verdana" w:cs="Arial"/>
                <w:sz w:val="22"/>
                <w:szCs w:val="22"/>
                <w:lang w:val="en-GB"/>
              </w:rPr>
              <w:t>of all patients over 50 who have suffered a fragility fracture to prevent subsequent fractures.</w:t>
            </w:r>
            <w:r w:rsidR="00486B75" w:rsidRPr="007D6D9E">
              <w:rPr>
                <w:rFonts w:ascii="Verdana" w:hAnsi="Verdana" w:cs="Arial"/>
                <w:sz w:val="22"/>
                <w:szCs w:val="22"/>
                <w:lang w:val="en-GB"/>
              </w:rPr>
              <w:t xml:space="preserve"> </w:t>
            </w:r>
            <w:r w:rsidRPr="007D6D9E">
              <w:rPr>
                <w:rFonts w:ascii="Verdana" w:hAnsi="Verdana" w:cs="Arial"/>
                <w:sz w:val="22"/>
                <w:szCs w:val="22"/>
                <w:lang w:val="en-GB"/>
              </w:rPr>
              <w:t>The service will be available to</w:t>
            </w:r>
            <w:r w:rsidR="00C11201" w:rsidRPr="007D6D9E">
              <w:rPr>
                <w:rFonts w:ascii="Verdana" w:hAnsi="Verdana" w:cs="Arial"/>
                <w:sz w:val="22"/>
                <w:szCs w:val="22"/>
                <w:lang w:val="en-GB"/>
              </w:rPr>
              <w:t>:</w:t>
            </w:r>
            <w:r w:rsidRPr="007D6D9E">
              <w:rPr>
                <w:rFonts w:ascii="Verdana" w:hAnsi="Verdana" w:cs="Arial"/>
                <w:sz w:val="22"/>
                <w:szCs w:val="22"/>
                <w:lang w:val="en-GB"/>
              </w:rPr>
              <w:t xml:space="preserve"> </w:t>
            </w:r>
          </w:p>
          <w:p w14:paraId="6938903B" w14:textId="43EB5D79" w:rsidR="00E704E1" w:rsidRPr="007D6D9E" w:rsidRDefault="00476FF5" w:rsidP="00CA68EC">
            <w:pPr>
              <w:pStyle w:val="ListParagraph"/>
              <w:numPr>
                <w:ilvl w:val="0"/>
                <w:numId w:val="5"/>
              </w:numPr>
              <w:spacing w:after="120"/>
              <w:rPr>
                <w:rFonts w:ascii="Verdana" w:hAnsi="Verdana" w:cs="Arial"/>
                <w:color w:val="000000" w:themeColor="text1"/>
                <w:sz w:val="22"/>
                <w:szCs w:val="22"/>
              </w:rPr>
            </w:pPr>
            <w:r w:rsidRPr="007D6D9E">
              <w:rPr>
                <w:rFonts w:ascii="Verdana" w:hAnsi="Verdana" w:cs="Arial"/>
                <w:color w:val="000000" w:themeColor="text1"/>
                <w:sz w:val="22"/>
                <w:szCs w:val="22"/>
              </w:rPr>
              <w:lastRenderedPageBreak/>
              <w:t>All patients a</w:t>
            </w:r>
            <w:r w:rsidR="005C7C12" w:rsidRPr="007D6D9E">
              <w:rPr>
                <w:rFonts w:ascii="Verdana" w:hAnsi="Verdana" w:cs="Arial"/>
                <w:color w:val="000000" w:themeColor="text1"/>
                <w:sz w:val="22"/>
                <w:szCs w:val="22"/>
              </w:rPr>
              <w:t>ttending</w:t>
            </w:r>
            <w:r w:rsidRPr="007D6D9E">
              <w:rPr>
                <w:rFonts w:ascii="Verdana" w:hAnsi="Verdana" w:cs="Arial"/>
                <w:color w:val="000000" w:themeColor="text1"/>
                <w:sz w:val="22"/>
                <w:szCs w:val="22"/>
              </w:rPr>
              <w:t xml:space="preserve"> </w:t>
            </w:r>
            <w:r w:rsidRPr="007D6D9E">
              <w:rPr>
                <w:rFonts w:ascii="Verdana" w:hAnsi="Verdana" w:cs="Arial"/>
                <w:b/>
                <w:color w:val="000000" w:themeColor="text1"/>
                <w:sz w:val="22"/>
                <w:szCs w:val="22"/>
              </w:rPr>
              <w:t>[name of hospital]</w:t>
            </w:r>
          </w:p>
          <w:p w14:paraId="47924EC4" w14:textId="00624583" w:rsidR="005C4DC8" w:rsidRPr="007D6D9E" w:rsidRDefault="00476FF5" w:rsidP="00CA68EC">
            <w:pPr>
              <w:pStyle w:val="ListParagraph"/>
              <w:numPr>
                <w:ilvl w:val="0"/>
                <w:numId w:val="5"/>
              </w:numPr>
              <w:spacing w:after="120"/>
              <w:rPr>
                <w:rFonts w:ascii="Verdana" w:hAnsi="Verdana" w:cs="Arial"/>
                <w:b/>
                <w:sz w:val="22"/>
                <w:szCs w:val="22"/>
              </w:rPr>
            </w:pPr>
            <w:r w:rsidRPr="007D6D9E">
              <w:rPr>
                <w:rFonts w:ascii="Verdana" w:hAnsi="Verdana" w:cs="Arial"/>
                <w:color w:val="000000" w:themeColor="text1"/>
                <w:sz w:val="22"/>
                <w:szCs w:val="22"/>
              </w:rPr>
              <w:t xml:space="preserve">All patients registered with a GP practice in </w:t>
            </w:r>
            <w:r w:rsidRPr="007D6D9E">
              <w:rPr>
                <w:rFonts w:ascii="Verdana" w:hAnsi="Verdana" w:cs="Arial"/>
                <w:b/>
                <w:color w:val="000000" w:themeColor="text1"/>
                <w:sz w:val="22"/>
                <w:szCs w:val="22"/>
              </w:rPr>
              <w:t>[name of CCG</w:t>
            </w:r>
            <w:r w:rsidR="002A119D" w:rsidRPr="007D6D9E">
              <w:rPr>
                <w:rFonts w:ascii="Verdana" w:hAnsi="Verdana" w:cs="Arial"/>
                <w:b/>
                <w:color w:val="000000" w:themeColor="text1"/>
                <w:sz w:val="22"/>
                <w:szCs w:val="22"/>
              </w:rPr>
              <w:t>/Health Board</w:t>
            </w:r>
            <w:r w:rsidRPr="007D6D9E">
              <w:rPr>
                <w:rFonts w:ascii="Verdana" w:hAnsi="Verdana" w:cs="Arial"/>
                <w:b/>
                <w:color w:val="000000" w:themeColor="text1"/>
                <w:sz w:val="22"/>
                <w:szCs w:val="22"/>
              </w:rPr>
              <w:t>]</w:t>
            </w:r>
            <w:r w:rsidRPr="007D6D9E">
              <w:rPr>
                <w:rFonts w:ascii="Verdana" w:hAnsi="Verdana" w:cs="Arial"/>
                <w:color w:val="000000" w:themeColor="text1"/>
                <w:sz w:val="22"/>
                <w:szCs w:val="22"/>
              </w:rPr>
              <w:t xml:space="preserve"> </w:t>
            </w:r>
          </w:p>
          <w:p w14:paraId="5EFD2931" w14:textId="20C31EEB" w:rsidR="007D3594" w:rsidRPr="007D6D9E" w:rsidRDefault="00C11201" w:rsidP="005C4DC8">
            <w:pPr>
              <w:spacing w:after="120"/>
              <w:rPr>
                <w:rFonts w:ascii="Verdana" w:hAnsi="Verdana" w:cs="Arial"/>
                <w:b/>
                <w:sz w:val="22"/>
                <w:szCs w:val="22"/>
              </w:rPr>
            </w:pPr>
            <w:r w:rsidRPr="007D6D9E">
              <w:rPr>
                <w:rFonts w:ascii="Verdana" w:hAnsi="Verdana" w:cs="Arial"/>
                <w:b/>
                <w:sz w:val="22"/>
                <w:szCs w:val="22"/>
              </w:rPr>
              <w:t>[</w:t>
            </w:r>
            <w:r w:rsidR="003A13F6" w:rsidRPr="007D6D9E">
              <w:rPr>
                <w:rFonts w:ascii="Verdana" w:hAnsi="Verdana" w:cs="Arial"/>
                <w:b/>
                <w:sz w:val="22"/>
                <w:szCs w:val="22"/>
              </w:rPr>
              <w:t>E</w:t>
            </w:r>
            <w:r w:rsidRPr="007D6D9E">
              <w:rPr>
                <w:rFonts w:ascii="Verdana" w:hAnsi="Verdana" w:cs="Arial"/>
                <w:b/>
                <w:sz w:val="22"/>
                <w:szCs w:val="22"/>
              </w:rPr>
              <w:t>dit above as appropriate]</w:t>
            </w:r>
          </w:p>
          <w:p w14:paraId="31223716" w14:textId="46054BC0" w:rsidR="00075A83" w:rsidRPr="007D6D9E" w:rsidRDefault="00E3678F" w:rsidP="000B2192">
            <w:pPr>
              <w:spacing w:after="120"/>
              <w:rPr>
                <w:rFonts w:ascii="Verdana" w:hAnsi="Verdana" w:cs="Arial"/>
                <w:b/>
                <w:color w:val="009966"/>
                <w:sz w:val="22"/>
                <w:szCs w:val="22"/>
                <w:lang w:val="en-GB"/>
              </w:rPr>
            </w:pPr>
            <w:r w:rsidRPr="007D6D9E">
              <w:rPr>
                <w:rFonts w:ascii="Verdana" w:hAnsi="Verdana" w:cs="Arial"/>
                <w:b/>
                <w:color w:val="009966"/>
                <w:sz w:val="22"/>
                <w:szCs w:val="22"/>
                <w:lang w:val="en-GB"/>
              </w:rPr>
              <w:t>3.5</w:t>
            </w:r>
            <w:r w:rsidR="001F093E" w:rsidRPr="007D6D9E">
              <w:rPr>
                <w:rFonts w:ascii="Verdana" w:hAnsi="Verdana" w:cs="Arial"/>
                <w:b/>
                <w:color w:val="009966"/>
                <w:sz w:val="22"/>
                <w:szCs w:val="22"/>
                <w:lang w:val="en-GB"/>
              </w:rPr>
              <w:t xml:space="preserve"> </w:t>
            </w:r>
            <w:r w:rsidR="00EA0DF6" w:rsidRPr="007D6D9E">
              <w:rPr>
                <w:rFonts w:ascii="Verdana" w:hAnsi="Verdana" w:cs="Arial"/>
                <w:b/>
                <w:color w:val="009966"/>
                <w:sz w:val="22"/>
                <w:szCs w:val="22"/>
                <w:lang w:val="en-GB"/>
              </w:rPr>
              <w:t>Inclusion/</w:t>
            </w:r>
            <w:r w:rsidR="00075A83" w:rsidRPr="007D6D9E">
              <w:rPr>
                <w:rFonts w:ascii="Verdana" w:hAnsi="Verdana" w:cs="Arial"/>
                <w:b/>
                <w:color w:val="009966"/>
                <w:sz w:val="22"/>
                <w:szCs w:val="22"/>
                <w:lang w:val="en-GB"/>
              </w:rPr>
              <w:t xml:space="preserve">acceptance criteria </w:t>
            </w:r>
          </w:p>
          <w:p w14:paraId="41EC82C2" w14:textId="77777777" w:rsidR="00EA0DF6" w:rsidRPr="007D6D9E" w:rsidRDefault="00EA0DF6" w:rsidP="00EA0DF6">
            <w:pPr>
              <w:pStyle w:val="MMCallout1"/>
              <w:numPr>
                <w:ilvl w:val="0"/>
                <w:numId w:val="0"/>
              </w:numPr>
              <w:spacing w:after="0" w:line="240" w:lineRule="auto"/>
              <w:rPr>
                <w:rFonts w:ascii="Verdana" w:hAnsi="Verdana"/>
              </w:rPr>
            </w:pPr>
            <w:r w:rsidRPr="007D6D9E">
              <w:rPr>
                <w:rFonts w:ascii="Verdana" w:hAnsi="Verdana"/>
              </w:rPr>
              <w:t xml:space="preserve">In order to be eligible for the service, </w:t>
            </w:r>
            <w:proofErr w:type="gramStart"/>
            <w:r w:rsidRPr="007D6D9E">
              <w:rPr>
                <w:rFonts w:ascii="Verdana" w:hAnsi="Verdana"/>
              </w:rPr>
              <w:t>patients</w:t>
            </w:r>
            <w:proofErr w:type="gramEnd"/>
            <w:r w:rsidRPr="007D6D9E">
              <w:rPr>
                <w:rFonts w:ascii="Verdana" w:hAnsi="Verdana"/>
              </w:rPr>
              <w:t xml:space="preserve"> </w:t>
            </w:r>
          </w:p>
          <w:p w14:paraId="29613022" w14:textId="77777777" w:rsidR="00EA0DF6" w:rsidRPr="007D6D9E" w:rsidRDefault="00EA0DF6" w:rsidP="00CA68EC">
            <w:pPr>
              <w:pStyle w:val="MMCallout1"/>
              <w:numPr>
                <w:ilvl w:val="0"/>
                <w:numId w:val="5"/>
              </w:numPr>
              <w:spacing w:after="0" w:line="240" w:lineRule="auto"/>
              <w:rPr>
                <w:rFonts w:ascii="Verdana" w:hAnsi="Verdana"/>
              </w:rPr>
            </w:pPr>
            <w:r w:rsidRPr="007D6D9E">
              <w:rPr>
                <w:rFonts w:ascii="Verdana" w:hAnsi="Verdana"/>
              </w:rPr>
              <w:t>Must be 50 years of age or over</w:t>
            </w:r>
          </w:p>
          <w:p w14:paraId="10805229" w14:textId="77777777" w:rsidR="00EA0DF6" w:rsidRPr="007D6D9E" w:rsidRDefault="00EA0DF6" w:rsidP="00CA68EC">
            <w:pPr>
              <w:pStyle w:val="MMCallout1"/>
              <w:numPr>
                <w:ilvl w:val="0"/>
                <w:numId w:val="5"/>
              </w:numPr>
              <w:spacing w:after="0" w:line="240" w:lineRule="auto"/>
              <w:rPr>
                <w:rFonts w:ascii="Verdana" w:hAnsi="Verdana"/>
              </w:rPr>
            </w:pPr>
            <w:r w:rsidRPr="007D6D9E">
              <w:rPr>
                <w:rFonts w:ascii="Verdana" w:hAnsi="Verdana"/>
              </w:rPr>
              <w:t xml:space="preserve">Have suffered a recent low trauma* fracture </w:t>
            </w:r>
          </w:p>
          <w:p w14:paraId="25DC9F26" w14:textId="77777777" w:rsidR="00EA0DF6" w:rsidRPr="007D6D9E" w:rsidRDefault="00EA0DF6" w:rsidP="00EA0DF6">
            <w:pPr>
              <w:pStyle w:val="MMCallout1"/>
              <w:numPr>
                <w:ilvl w:val="0"/>
                <w:numId w:val="0"/>
              </w:numPr>
              <w:spacing w:after="0" w:line="240" w:lineRule="auto"/>
              <w:rPr>
                <w:rFonts w:ascii="Verdana" w:hAnsi="Verdana"/>
              </w:rPr>
            </w:pPr>
            <w:r w:rsidRPr="007D6D9E">
              <w:rPr>
                <w:rFonts w:ascii="Verdana" w:hAnsi="Verdana"/>
              </w:rPr>
              <w:t>(*low trauma is defined as a fracture sustained a slip, trip or fall from a standing height or less)</w:t>
            </w:r>
          </w:p>
          <w:p w14:paraId="1BD24DBF" w14:textId="77777777" w:rsidR="00EA0DF6" w:rsidRPr="007D6D9E" w:rsidRDefault="00EA0DF6" w:rsidP="00EA0DF6">
            <w:pPr>
              <w:spacing w:after="0"/>
              <w:jc w:val="both"/>
              <w:rPr>
                <w:rFonts w:ascii="Verdana" w:hAnsi="Verdana"/>
                <w:b/>
                <w:bCs/>
                <w:sz w:val="22"/>
                <w:szCs w:val="22"/>
              </w:rPr>
            </w:pPr>
          </w:p>
          <w:p w14:paraId="2CD226BD" w14:textId="5012F3C7" w:rsidR="00EA0DF6" w:rsidRPr="00DF2AE6" w:rsidRDefault="007D6D9E" w:rsidP="00DF2AE6">
            <w:pPr>
              <w:spacing w:after="120"/>
              <w:rPr>
                <w:rFonts w:ascii="Verdana" w:hAnsi="Verdana" w:cs="Arial"/>
                <w:b/>
                <w:color w:val="009966"/>
                <w:sz w:val="22"/>
                <w:szCs w:val="22"/>
                <w:lang w:val="en-GB"/>
              </w:rPr>
            </w:pPr>
            <w:r w:rsidRPr="007D6D9E">
              <w:rPr>
                <w:rFonts w:ascii="Verdana" w:hAnsi="Verdana" w:cs="Arial"/>
                <w:b/>
                <w:color w:val="009966"/>
                <w:sz w:val="22"/>
                <w:szCs w:val="22"/>
                <w:lang w:val="en-GB"/>
              </w:rPr>
              <w:t>3.6 Exclusion criteria</w:t>
            </w:r>
          </w:p>
          <w:p w14:paraId="1524EA78" w14:textId="77777777" w:rsidR="00EA0DF6" w:rsidRPr="007D6D9E" w:rsidRDefault="00EA0DF6" w:rsidP="00CA68EC">
            <w:pPr>
              <w:pStyle w:val="ListParagraph"/>
              <w:numPr>
                <w:ilvl w:val="0"/>
                <w:numId w:val="5"/>
              </w:numPr>
              <w:jc w:val="both"/>
              <w:rPr>
                <w:rFonts w:ascii="Verdana" w:hAnsi="Verdana"/>
                <w:sz w:val="22"/>
                <w:szCs w:val="22"/>
              </w:rPr>
            </w:pPr>
            <w:r w:rsidRPr="007D6D9E">
              <w:rPr>
                <w:rFonts w:ascii="Verdana" w:hAnsi="Verdana"/>
                <w:sz w:val="22"/>
                <w:szCs w:val="22"/>
              </w:rPr>
              <w:t>Pathological fractures</w:t>
            </w:r>
          </w:p>
          <w:p w14:paraId="4443ADD9" w14:textId="77777777" w:rsidR="00EA0DF6" w:rsidRPr="007D6D9E" w:rsidRDefault="00EA0DF6" w:rsidP="00CA68EC">
            <w:pPr>
              <w:pStyle w:val="ListParagraph"/>
              <w:numPr>
                <w:ilvl w:val="0"/>
                <w:numId w:val="5"/>
              </w:numPr>
              <w:jc w:val="both"/>
              <w:rPr>
                <w:rFonts w:ascii="Verdana" w:hAnsi="Verdana"/>
                <w:sz w:val="22"/>
                <w:szCs w:val="22"/>
              </w:rPr>
            </w:pPr>
            <w:r w:rsidRPr="007D6D9E">
              <w:rPr>
                <w:rFonts w:ascii="Verdana" w:hAnsi="Verdana"/>
                <w:sz w:val="22"/>
                <w:szCs w:val="22"/>
              </w:rPr>
              <w:t>Fractures sustained in high trauma accidents (e.g. road traffic collisions)</w:t>
            </w:r>
          </w:p>
          <w:p w14:paraId="737136C5" w14:textId="4F978E1F" w:rsidR="00EA0DF6" w:rsidRPr="007D6D9E" w:rsidRDefault="00EA0DF6" w:rsidP="00CA68EC">
            <w:pPr>
              <w:pStyle w:val="ListParagraph"/>
              <w:numPr>
                <w:ilvl w:val="0"/>
                <w:numId w:val="5"/>
              </w:numPr>
              <w:jc w:val="both"/>
              <w:rPr>
                <w:rFonts w:ascii="Verdana" w:hAnsi="Verdana"/>
                <w:sz w:val="22"/>
                <w:szCs w:val="22"/>
              </w:rPr>
            </w:pPr>
            <w:r w:rsidRPr="007D6D9E">
              <w:rPr>
                <w:rFonts w:ascii="Verdana" w:hAnsi="Verdana"/>
                <w:sz w:val="22"/>
                <w:szCs w:val="22"/>
              </w:rPr>
              <w:t>Fractures of the fingers; toes; metacarpals; metatarsals; carpal bones (including scaphoid); face; skull; sternum; olecranon; and patella.</w:t>
            </w:r>
            <w:r w:rsidR="00DF2AE6">
              <w:rPr>
                <w:rFonts w:ascii="Verdana" w:hAnsi="Verdana"/>
                <w:sz w:val="22"/>
                <w:szCs w:val="22"/>
              </w:rPr>
              <w:t xml:space="preserve"> </w:t>
            </w:r>
            <w:r w:rsidR="00DF2AE6" w:rsidRPr="007D6D9E">
              <w:rPr>
                <w:rFonts w:ascii="Verdana" w:hAnsi="Verdana"/>
                <w:b/>
                <w:color w:val="000000" w:themeColor="text1"/>
                <w:sz w:val="22"/>
                <w:szCs w:val="22"/>
              </w:rPr>
              <w:t>[This needs to be agreed locally]</w:t>
            </w:r>
            <w:r w:rsidR="00DF2AE6" w:rsidRPr="007D6D9E">
              <w:rPr>
                <w:rFonts w:ascii="Verdana" w:hAnsi="Verdana" w:cs="Arial"/>
                <w:sz w:val="22"/>
                <w:szCs w:val="22"/>
              </w:rPr>
              <w:t>.</w:t>
            </w:r>
          </w:p>
          <w:p w14:paraId="17022BDE" w14:textId="77777777" w:rsidR="00DF2AE6" w:rsidRDefault="00DF2AE6" w:rsidP="005C4DC8">
            <w:pPr>
              <w:spacing w:after="120"/>
              <w:rPr>
                <w:rFonts w:ascii="Verdana" w:hAnsi="Verdana" w:cs="Arial"/>
                <w:sz w:val="22"/>
                <w:szCs w:val="22"/>
                <w:lang w:val="en-GB"/>
              </w:rPr>
            </w:pPr>
          </w:p>
          <w:p w14:paraId="39E66DCA" w14:textId="0C919D9A" w:rsidR="004F6E3C" w:rsidRPr="007D6D9E" w:rsidRDefault="00E3678F" w:rsidP="005C4DC8">
            <w:pPr>
              <w:spacing w:after="120"/>
              <w:rPr>
                <w:rFonts w:ascii="Verdana" w:hAnsi="Verdana" w:cs="Arial"/>
                <w:b/>
                <w:color w:val="009966"/>
                <w:sz w:val="22"/>
                <w:szCs w:val="22"/>
                <w:lang w:val="en-GB"/>
              </w:rPr>
            </w:pPr>
            <w:r w:rsidRPr="007D6D9E">
              <w:rPr>
                <w:rFonts w:ascii="Verdana" w:hAnsi="Verdana" w:cs="Arial"/>
                <w:b/>
                <w:color w:val="009966"/>
                <w:sz w:val="22"/>
                <w:szCs w:val="22"/>
                <w:lang w:val="en-GB"/>
              </w:rPr>
              <w:t>3.</w:t>
            </w:r>
            <w:r w:rsidR="00DF2AE6">
              <w:rPr>
                <w:rFonts w:ascii="Verdana" w:hAnsi="Verdana" w:cs="Arial"/>
                <w:b/>
                <w:color w:val="009966"/>
                <w:sz w:val="22"/>
                <w:szCs w:val="22"/>
                <w:lang w:val="en-GB"/>
              </w:rPr>
              <w:t>7</w:t>
            </w:r>
            <w:r w:rsidRPr="007D6D9E">
              <w:rPr>
                <w:rFonts w:ascii="Verdana" w:hAnsi="Verdana" w:cs="Arial"/>
                <w:b/>
                <w:color w:val="009966"/>
                <w:sz w:val="22"/>
                <w:szCs w:val="22"/>
                <w:lang w:val="en-GB"/>
              </w:rPr>
              <w:t xml:space="preserve"> </w:t>
            </w:r>
            <w:r w:rsidR="004F6E3C" w:rsidRPr="007D6D9E">
              <w:rPr>
                <w:rFonts w:ascii="Verdana" w:hAnsi="Verdana" w:cs="Arial"/>
                <w:b/>
                <w:color w:val="009966"/>
                <w:sz w:val="22"/>
                <w:szCs w:val="22"/>
                <w:lang w:val="en-GB"/>
              </w:rPr>
              <w:t>Referral Route</w:t>
            </w:r>
          </w:p>
          <w:p w14:paraId="580EADCE" w14:textId="054F8EED" w:rsidR="004F6E3C" w:rsidRPr="007D6D9E" w:rsidRDefault="00DF2AE6" w:rsidP="00065A3E">
            <w:pPr>
              <w:spacing w:after="0"/>
              <w:jc w:val="both"/>
              <w:rPr>
                <w:rFonts w:ascii="Verdana" w:hAnsi="Verdana" w:cs="Arial"/>
                <w:sz w:val="22"/>
                <w:szCs w:val="22"/>
                <w:lang w:val="en-GB"/>
              </w:rPr>
            </w:pPr>
            <w:r w:rsidRPr="007D6D9E">
              <w:rPr>
                <w:rFonts w:ascii="Verdana" w:hAnsi="Verdana" w:cs="Arial"/>
                <w:sz w:val="22"/>
                <w:szCs w:val="22"/>
              </w:rPr>
              <w:t xml:space="preserve">The predominant mode of action is proactive systematic case-finding by the FLS; however, referrals should also be encouraged into the FLS from other services, such as GPs, Pain Clinics, interface services and falls services. </w:t>
            </w:r>
            <w:r w:rsidRPr="007D6D9E">
              <w:rPr>
                <w:rFonts w:ascii="Verdana" w:hAnsi="Verdana" w:cs="Arial"/>
                <w:b/>
                <w:sz w:val="22"/>
                <w:szCs w:val="22"/>
                <w:lang w:val="en-GB"/>
              </w:rPr>
              <w:t>[edit as appropriate]</w:t>
            </w:r>
            <w:r w:rsidR="00065A3E">
              <w:rPr>
                <w:rFonts w:ascii="Verdana" w:hAnsi="Verdana" w:cs="Arial"/>
                <w:b/>
                <w:sz w:val="22"/>
                <w:szCs w:val="22"/>
                <w:lang w:val="en-GB"/>
              </w:rPr>
              <w:t xml:space="preserve">. </w:t>
            </w:r>
            <w:r w:rsidR="004F6E3C" w:rsidRPr="007D6D9E">
              <w:rPr>
                <w:rFonts w:ascii="Verdana" w:hAnsi="Verdana" w:cs="Arial"/>
                <w:sz w:val="22"/>
                <w:szCs w:val="22"/>
                <w:lang w:val="en-GB"/>
              </w:rPr>
              <w:t xml:space="preserve">Referrals will be </w:t>
            </w:r>
            <w:r w:rsidR="00B73CB9" w:rsidRPr="007D6D9E">
              <w:rPr>
                <w:rFonts w:ascii="Verdana" w:hAnsi="Verdana" w:cs="Arial"/>
                <w:sz w:val="22"/>
                <w:szCs w:val="22"/>
                <w:lang w:val="en-GB"/>
              </w:rPr>
              <w:t>accepted</w:t>
            </w:r>
            <w:r w:rsidR="004F6E3C" w:rsidRPr="007D6D9E">
              <w:rPr>
                <w:rFonts w:ascii="Verdana" w:hAnsi="Verdana" w:cs="Arial"/>
                <w:sz w:val="22"/>
                <w:szCs w:val="22"/>
                <w:lang w:val="en-GB"/>
              </w:rPr>
              <w:t xml:space="preserve"> </w:t>
            </w:r>
            <w:r w:rsidR="00B73CB9" w:rsidRPr="007D6D9E">
              <w:rPr>
                <w:rFonts w:ascii="Verdana" w:hAnsi="Verdana" w:cs="Arial"/>
                <w:sz w:val="22"/>
                <w:szCs w:val="22"/>
                <w:lang w:val="en-GB"/>
              </w:rPr>
              <w:t>using the following methods</w:t>
            </w:r>
            <w:r w:rsidR="004F6E3C" w:rsidRPr="007D6D9E">
              <w:rPr>
                <w:rFonts w:ascii="Verdana" w:hAnsi="Verdana" w:cs="Arial"/>
                <w:sz w:val="22"/>
                <w:szCs w:val="22"/>
                <w:lang w:val="en-GB"/>
              </w:rPr>
              <w:t>:</w:t>
            </w:r>
            <w:r w:rsidR="005C4DC8" w:rsidRPr="007D6D9E">
              <w:rPr>
                <w:rFonts w:ascii="Verdana" w:hAnsi="Verdana" w:cs="Arial"/>
                <w:b/>
                <w:color w:val="000000" w:themeColor="text1"/>
                <w:sz w:val="22"/>
                <w:szCs w:val="22"/>
              </w:rPr>
              <w:t xml:space="preserve"> [add local information here, may include:</w:t>
            </w:r>
          </w:p>
          <w:p w14:paraId="462EA65B" w14:textId="77777777" w:rsidR="006065E7" w:rsidRPr="007D6D9E" w:rsidRDefault="006065E7" w:rsidP="00CA68EC">
            <w:pPr>
              <w:pStyle w:val="ListParagraph"/>
              <w:numPr>
                <w:ilvl w:val="0"/>
                <w:numId w:val="5"/>
              </w:numPr>
              <w:spacing w:after="120"/>
              <w:rPr>
                <w:rFonts w:ascii="Verdana" w:hAnsi="Verdana" w:cs="Arial"/>
                <w:b/>
                <w:color w:val="000000" w:themeColor="text1"/>
                <w:sz w:val="22"/>
                <w:szCs w:val="22"/>
              </w:rPr>
            </w:pPr>
            <w:r w:rsidRPr="007D6D9E">
              <w:rPr>
                <w:rFonts w:ascii="Verdana" w:hAnsi="Verdana" w:cs="Arial"/>
                <w:b/>
                <w:color w:val="000000" w:themeColor="text1"/>
                <w:sz w:val="22"/>
                <w:szCs w:val="22"/>
              </w:rPr>
              <w:t>e-referral</w:t>
            </w:r>
          </w:p>
          <w:p w14:paraId="06B0C7D4" w14:textId="7C449909" w:rsidR="00E704E1" w:rsidRPr="007D6D9E" w:rsidRDefault="004F6E3C" w:rsidP="00CA68EC">
            <w:pPr>
              <w:pStyle w:val="ListParagraph"/>
              <w:numPr>
                <w:ilvl w:val="0"/>
                <w:numId w:val="5"/>
              </w:numPr>
              <w:spacing w:after="120"/>
              <w:rPr>
                <w:rFonts w:ascii="Verdana" w:hAnsi="Verdana" w:cs="Arial"/>
                <w:b/>
                <w:color w:val="000000" w:themeColor="text1"/>
                <w:sz w:val="22"/>
                <w:szCs w:val="22"/>
              </w:rPr>
            </w:pPr>
            <w:r w:rsidRPr="007D6D9E">
              <w:rPr>
                <w:rFonts w:ascii="Verdana" w:hAnsi="Verdana" w:cs="Arial"/>
                <w:b/>
                <w:color w:val="000000" w:themeColor="text1"/>
                <w:sz w:val="22"/>
                <w:szCs w:val="22"/>
              </w:rPr>
              <w:t xml:space="preserve">Letter </w:t>
            </w:r>
          </w:p>
          <w:p w14:paraId="127E09C8" w14:textId="05880CDC" w:rsidR="00E704E1" w:rsidRPr="007D6D9E" w:rsidRDefault="004F6E3C" w:rsidP="00CA68EC">
            <w:pPr>
              <w:pStyle w:val="ListParagraph"/>
              <w:numPr>
                <w:ilvl w:val="0"/>
                <w:numId w:val="5"/>
              </w:numPr>
              <w:spacing w:after="120"/>
              <w:rPr>
                <w:rFonts w:ascii="Verdana" w:hAnsi="Verdana" w:cs="Arial"/>
                <w:b/>
                <w:sz w:val="22"/>
                <w:szCs w:val="22"/>
              </w:rPr>
            </w:pPr>
            <w:r w:rsidRPr="007D6D9E">
              <w:rPr>
                <w:rFonts w:ascii="Verdana" w:hAnsi="Verdana" w:cs="Arial"/>
                <w:b/>
                <w:sz w:val="22"/>
                <w:szCs w:val="22"/>
              </w:rPr>
              <w:t>Electronic mail or message]</w:t>
            </w:r>
          </w:p>
          <w:p w14:paraId="6524E2C9" w14:textId="248796F2" w:rsidR="00075A83" w:rsidRPr="007D6D9E" w:rsidRDefault="00075A83" w:rsidP="00FB5485">
            <w:pPr>
              <w:spacing w:after="120"/>
              <w:jc w:val="both"/>
              <w:rPr>
                <w:rFonts w:ascii="Verdana" w:hAnsi="Verdana" w:cs="Arial"/>
                <w:b/>
                <w:color w:val="009966"/>
                <w:sz w:val="22"/>
                <w:szCs w:val="22"/>
              </w:rPr>
            </w:pPr>
            <w:r w:rsidRPr="007D6D9E">
              <w:rPr>
                <w:rFonts w:ascii="Verdana" w:hAnsi="Verdana" w:cs="Arial"/>
                <w:b/>
                <w:color w:val="009966"/>
                <w:sz w:val="22"/>
                <w:szCs w:val="22"/>
              </w:rPr>
              <w:t>Interdependence with other services/providers</w:t>
            </w:r>
            <w:r w:rsidR="0074291B" w:rsidRPr="007D6D9E">
              <w:rPr>
                <w:rFonts w:ascii="Verdana" w:hAnsi="Verdana" w:cs="Arial"/>
                <w:b/>
                <w:color w:val="009966"/>
                <w:sz w:val="22"/>
                <w:szCs w:val="22"/>
              </w:rPr>
              <w:t>:</w:t>
            </w:r>
          </w:p>
          <w:p w14:paraId="64BB07CD" w14:textId="77777777" w:rsidR="007B4BEE" w:rsidRDefault="00B652F7" w:rsidP="008D02F9">
            <w:pPr>
              <w:pStyle w:val="Default"/>
              <w:spacing w:after="120"/>
              <w:jc w:val="both"/>
              <w:rPr>
                <w:rFonts w:ascii="Verdana" w:hAnsi="Verdana" w:cs="Arial"/>
                <w:sz w:val="22"/>
                <w:szCs w:val="22"/>
              </w:rPr>
            </w:pPr>
            <w:r w:rsidRPr="007D6D9E">
              <w:rPr>
                <w:rFonts w:ascii="Verdana" w:hAnsi="Verdana" w:cs="Arial"/>
                <w:sz w:val="22"/>
                <w:szCs w:val="22"/>
              </w:rPr>
              <w:t>The service shall</w:t>
            </w:r>
            <w:r w:rsidR="004F6E3C" w:rsidRPr="007D6D9E">
              <w:rPr>
                <w:rFonts w:ascii="Verdana" w:hAnsi="Verdana" w:cs="Arial"/>
                <w:sz w:val="22"/>
                <w:szCs w:val="22"/>
              </w:rPr>
              <w:t xml:space="preserve"> operate as part of an integrated system for the prevention of fractures</w:t>
            </w:r>
            <w:r w:rsidR="00271B52" w:rsidRPr="007D6D9E">
              <w:rPr>
                <w:rFonts w:ascii="Verdana" w:hAnsi="Verdana" w:cs="Arial"/>
                <w:sz w:val="22"/>
                <w:szCs w:val="22"/>
              </w:rPr>
              <w:t xml:space="preserve"> and falls</w:t>
            </w:r>
            <w:r w:rsidR="004F6E3C" w:rsidRPr="007D6D9E">
              <w:rPr>
                <w:rFonts w:ascii="Verdana" w:hAnsi="Verdana" w:cs="Arial"/>
                <w:sz w:val="22"/>
                <w:szCs w:val="22"/>
              </w:rPr>
              <w:t>.</w:t>
            </w:r>
            <w:r w:rsidR="00794DF7" w:rsidRPr="007D6D9E">
              <w:rPr>
                <w:rFonts w:ascii="Verdana" w:hAnsi="Verdana" w:cs="Arial"/>
                <w:sz w:val="22"/>
                <w:szCs w:val="22"/>
              </w:rPr>
              <w:t xml:space="preserve"> </w:t>
            </w:r>
            <w:r w:rsidRPr="007D6D9E">
              <w:rPr>
                <w:rFonts w:ascii="Verdana" w:hAnsi="Verdana" w:cs="Arial"/>
                <w:sz w:val="22"/>
                <w:szCs w:val="22"/>
              </w:rPr>
              <w:t>It will, therefore,</w:t>
            </w:r>
            <w:r w:rsidR="004F6E3C" w:rsidRPr="007D6D9E">
              <w:rPr>
                <w:rFonts w:ascii="Verdana" w:hAnsi="Verdana" w:cs="Arial"/>
                <w:sz w:val="22"/>
                <w:szCs w:val="22"/>
              </w:rPr>
              <w:t xml:space="preserve"> work closely with other parts of the health and social care system including</w:t>
            </w:r>
            <w:r w:rsidR="00FD5C72" w:rsidRPr="007D6D9E">
              <w:rPr>
                <w:rFonts w:ascii="Verdana" w:hAnsi="Verdana" w:cs="Arial"/>
                <w:sz w:val="22"/>
                <w:szCs w:val="22"/>
              </w:rPr>
              <w:t xml:space="preserve"> but not exclusive to</w:t>
            </w:r>
            <w:r w:rsidR="004F6E3C" w:rsidRPr="007D6D9E">
              <w:rPr>
                <w:rFonts w:ascii="Verdana" w:hAnsi="Verdana" w:cs="Arial"/>
                <w:sz w:val="22"/>
                <w:szCs w:val="22"/>
              </w:rPr>
              <w:t>:</w:t>
            </w:r>
            <w:r w:rsidR="00BB378F" w:rsidRPr="007D6D9E">
              <w:rPr>
                <w:rFonts w:ascii="Verdana" w:hAnsi="Verdana" w:cs="Arial"/>
                <w:sz w:val="22"/>
                <w:szCs w:val="22"/>
              </w:rPr>
              <w:t xml:space="preserve"> </w:t>
            </w:r>
          </w:p>
          <w:p w14:paraId="1786C781" w14:textId="394D4774" w:rsidR="00B70D45" w:rsidRPr="007D6D9E" w:rsidRDefault="00B73CB9" w:rsidP="008D02F9">
            <w:pPr>
              <w:pStyle w:val="Default"/>
              <w:spacing w:after="120"/>
              <w:jc w:val="both"/>
              <w:rPr>
                <w:rFonts w:ascii="Verdana" w:hAnsi="Verdana" w:cs="Arial"/>
                <w:color w:val="000000" w:themeColor="text1"/>
                <w:sz w:val="22"/>
                <w:szCs w:val="22"/>
              </w:rPr>
            </w:pPr>
            <w:r w:rsidRPr="007D6D9E">
              <w:rPr>
                <w:rFonts w:ascii="Verdana" w:hAnsi="Verdana" w:cs="Arial"/>
                <w:color w:val="000000" w:themeColor="text1"/>
                <w:sz w:val="22"/>
                <w:szCs w:val="22"/>
              </w:rPr>
              <w:t>Falls services</w:t>
            </w:r>
            <w:r w:rsidR="00BB378F" w:rsidRPr="007D6D9E">
              <w:rPr>
                <w:rFonts w:ascii="Verdana" w:hAnsi="Verdana" w:cs="Arial"/>
                <w:color w:val="000000" w:themeColor="text1"/>
                <w:sz w:val="22"/>
                <w:szCs w:val="22"/>
              </w:rPr>
              <w:t xml:space="preserve">; </w:t>
            </w:r>
            <w:r w:rsidR="00F16A82" w:rsidRPr="007D6D9E">
              <w:rPr>
                <w:rFonts w:ascii="Verdana" w:hAnsi="Verdana" w:cs="Arial"/>
                <w:color w:val="000000" w:themeColor="text1"/>
                <w:sz w:val="22"/>
                <w:szCs w:val="22"/>
              </w:rPr>
              <w:t>M</w:t>
            </w:r>
            <w:r w:rsidR="004F6E3C" w:rsidRPr="007D6D9E">
              <w:rPr>
                <w:rFonts w:ascii="Verdana" w:hAnsi="Verdana" w:cs="Arial"/>
                <w:color w:val="000000" w:themeColor="text1"/>
                <w:sz w:val="22"/>
                <w:szCs w:val="22"/>
              </w:rPr>
              <w:t xml:space="preserve">edical </w:t>
            </w:r>
            <w:r w:rsidR="00794DF7" w:rsidRPr="007D6D9E">
              <w:rPr>
                <w:rFonts w:ascii="Verdana" w:hAnsi="Verdana" w:cs="Arial"/>
                <w:color w:val="000000" w:themeColor="text1"/>
                <w:sz w:val="22"/>
                <w:szCs w:val="22"/>
              </w:rPr>
              <w:t>Assessment U</w:t>
            </w:r>
            <w:r w:rsidR="004F6E3C" w:rsidRPr="007D6D9E">
              <w:rPr>
                <w:rFonts w:ascii="Verdana" w:hAnsi="Verdana" w:cs="Arial"/>
                <w:color w:val="000000" w:themeColor="text1"/>
                <w:sz w:val="22"/>
                <w:szCs w:val="22"/>
              </w:rPr>
              <w:t>nit</w:t>
            </w:r>
            <w:r w:rsidR="00BB378F" w:rsidRPr="007D6D9E">
              <w:rPr>
                <w:rFonts w:ascii="Verdana" w:hAnsi="Verdana" w:cs="Arial"/>
                <w:color w:val="000000" w:themeColor="text1"/>
                <w:sz w:val="22"/>
                <w:szCs w:val="22"/>
              </w:rPr>
              <w:t xml:space="preserve">; </w:t>
            </w:r>
            <w:r w:rsidR="00F16A82" w:rsidRPr="007D6D9E">
              <w:rPr>
                <w:rFonts w:ascii="Verdana" w:hAnsi="Verdana" w:cs="Arial"/>
                <w:color w:val="000000" w:themeColor="text1"/>
                <w:sz w:val="22"/>
                <w:szCs w:val="22"/>
              </w:rPr>
              <w:t>Orthopaedics</w:t>
            </w:r>
            <w:r w:rsidR="00B642FB" w:rsidRPr="007D6D9E">
              <w:rPr>
                <w:rFonts w:ascii="Verdana" w:hAnsi="Verdana" w:cs="Arial"/>
                <w:color w:val="000000" w:themeColor="text1"/>
                <w:sz w:val="22"/>
                <w:szCs w:val="22"/>
              </w:rPr>
              <w:t xml:space="preserve"> and trauma</w:t>
            </w:r>
            <w:r w:rsidR="00BB378F" w:rsidRPr="007D6D9E">
              <w:rPr>
                <w:rFonts w:ascii="Verdana" w:hAnsi="Verdana" w:cs="Arial"/>
                <w:color w:val="000000" w:themeColor="text1"/>
                <w:sz w:val="22"/>
                <w:szCs w:val="22"/>
              </w:rPr>
              <w:t xml:space="preserve">; </w:t>
            </w:r>
            <w:r w:rsidR="00F16A82" w:rsidRPr="007D6D9E">
              <w:rPr>
                <w:rFonts w:ascii="Verdana" w:hAnsi="Verdana" w:cs="Arial"/>
                <w:color w:val="000000" w:themeColor="text1"/>
                <w:sz w:val="22"/>
                <w:szCs w:val="22"/>
              </w:rPr>
              <w:t>M</w:t>
            </w:r>
            <w:r w:rsidR="004F6E3C" w:rsidRPr="007D6D9E">
              <w:rPr>
                <w:rFonts w:ascii="Verdana" w:hAnsi="Verdana" w:cs="Arial"/>
                <w:color w:val="000000" w:themeColor="text1"/>
                <w:sz w:val="22"/>
                <w:szCs w:val="22"/>
              </w:rPr>
              <w:t>edic</w:t>
            </w:r>
            <w:r w:rsidR="00F16A82" w:rsidRPr="007D6D9E">
              <w:rPr>
                <w:rFonts w:ascii="Verdana" w:hAnsi="Verdana" w:cs="Arial"/>
                <w:color w:val="000000" w:themeColor="text1"/>
                <w:sz w:val="22"/>
                <w:szCs w:val="22"/>
              </w:rPr>
              <w:t xml:space="preserve">ine </w:t>
            </w:r>
            <w:r w:rsidR="004F6E3C" w:rsidRPr="007D6D9E">
              <w:rPr>
                <w:rFonts w:ascii="Verdana" w:hAnsi="Verdana" w:cs="Arial"/>
                <w:color w:val="000000" w:themeColor="text1"/>
                <w:sz w:val="22"/>
                <w:szCs w:val="22"/>
              </w:rPr>
              <w:t>and care of older people departments</w:t>
            </w:r>
            <w:r w:rsidR="00BB378F" w:rsidRPr="007D6D9E">
              <w:rPr>
                <w:rFonts w:ascii="Verdana" w:hAnsi="Verdana" w:cs="Arial"/>
                <w:color w:val="000000" w:themeColor="text1"/>
                <w:sz w:val="22"/>
                <w:szCs w:val="22"/>
              </w:rPr>
              <w:t xml:space="preserve">; </w:t>
            </w:r>
            <w:r w:rsidR="00F16A82" w:rsidRPr="007D6D9E">
              <w:rPr>
                <w:rFonts w:ascii="Verdana" w:hAnsi="Verdana" w:cs="Arial"/>
                <w:color w:val="000000" w:themeColor="text1"/>
                <w:sz w:val="22"/>
                <w:szCs w:val="22"/>
              </w:rPr>
              <w:t>E</w:t>
            </w:r>
            <w:r w:rsidR="004F6E3C" w:rsidRPr="007D6D9E">
              <w:rPr>
                <w:rFonts w:ascii="Verdana" w:hAnsi="Verdana" w:cs="Arial"/>
                <w:color w:val="000000" w:themeColor="text1"/>
                <w:sz w:val="22"/>
                <w:szCs w:val="22"/>
              </w:rPr>
              <w:t>mergency department</w:t>
            </w:r>
            <w:r w:rsidR="00BB378F" w:rsidRPr="007D6D9E">
              <w:rPr>
                <w:rFonts w:ascii="Verdana" w:hAnsi="Verdana" w:cs="Arial"/>
                <w:color w:val="000000" w:themeColor="text1"/>
                <w:sz w:val="22"/>
                <w:szCs w:val="22"/>
              </w:rPr>
              <w:t xml:space="preserve">; </w:t>
            </w:r>
            <w:r w:rsidR="001D5F97" w:rsidRPr="007D6D9E">
              <w:rPr>
                <w:rFonts w:ascii="Verdana" w:hAnsi="Verdana" w:cs="Arial"/>
                <w:color w:val="000000" w:themeColor="text1"/>
                <w:sz w:val="22"/>
                <w:szCs w:val="22"/>
              </w:rPr>
              <w:t>Radiology</w:t>
            </w:r>
            <w:r w:rsidR="00BB378F" w:rsidRPr="007D6D9E">
              <w:rPr>
                <w:rFonts w:ascii="Verdana" w:hAnsi="Verdana" w:cs="Arial"/>
                <w:color w:val="000000" w:themeColor="text1"/>
                <w:sz w:val="22"/>
                <w:szCs w:val="22"/>
              </w:rPr>
              <w:t xml:space="preserve">; DXA Team; </w:t>
            </w:r>
            <w:r w:rsidR="00794DF7" w:rsidRPr="007D6D9E">
              <w:rPr>
                <w:rFonts w:ascii="Verdana" w:hAnsi="Verdana" w:cs="Arial"/>
                <w:color w:val="000000" w:themeColor="text1"/>
                <w:sz w:val="22"/>
                <w:szCs w:val="22"/>
              </w:rPr>
              <w:t>Intermediate c</w:t>
            </w:r>
            <w:r w:rsidR="001D5F97" w:rsidRPr="007D6D9E">
              <w:rPr>
                <w:rFonts w:ascii="Verdana" w:hAnsi="Verdana" w:cs="Arial"/>
                <w:color w:val="000000" w:themeColor="text1"/>
                <w:sz w:val="22"/>
                <w:szCs w:val="22"/>
              </w:rPr>
              <w:t>are</w:t>
            </w:r>
            <w:r w:rsidR="00BB378F" w:rsidRPr="007D6D9E">
              <w:rPr>
                <w:rFonts w:ascii="Verdana" w:hAnsi="Verdana" w:cs="Arial"/>
                <w:color w:val="000000" w:themeColor="text1"/>
                <w:sz w:val="22"/>
                <w:szCs w:val="22"/>
              </w:rPr>
              <w:t xml:space="preserve">; </w:t>
            </w:r>
            <w:r w:rsidR="00F16A82" w:rsidRPr="007D6D9E">
              <w:rPr>
                <w:rFonts w:ascii="Verdana" w:hAnsi="Verdana" w:cs="Arial"/>
                <w:color w:val="000000" w:themeColor="text1"/>
                <w:sz w:val="22"/>
                <w:szCs w:val="22"/>
              </w:rPr>
              <w:t>GPs</w:t>
            </w:r>
            <w:r w:rsidR="004A7A4F" w:rsidRPr="007D6D9E">
              <w:rPr>
                <w:rFonts w:ascii="Verdana" w:hAnsi="Verdana" w:cs="Arial"/>
                <w:color w:val="000000" w:themeColor="text1"/>
                <w:sz w:val="22"/>
                <w:szCs w:val="22"/>
              </w:rPr>
              <w:t>/Practice Nurses</w:t>
            </w:r>
            <w:r w:rsidR="00BB378F" w:rsidRPr="007D6D9E">
              <w:rPr>
                <w:rFonts w:ascii="Verdana" w:hAnsi="Verdana" w:cs="Arial"/>
                <w:color w:val="000000" w:themeColor="text1"/>
                <w:sz w:val="22"/>
                <w:szCs w:val="22"/>
              </w:rPr>
              <w:t xml:space="preserve">; </w:t>
            </w:r>
            <w:r w:rsidR="006F6286" w:rsidRPr="007D6D9E">
              <w:rPr>
                <w:rFonts w:ascii="Verdana" w:hAnsi="Verdana" w:cs="Arial"/>
                <w:color w:val="000000" w:themeColor="text1"/>
                <w:sz w:val="22"/>
                <w:szCs w:val="22"/>
              </w:rPr>
              <w:t>M</w:t>
            </w:r>
            <w:r w:rsidR="004A7A4F" w:rsidRPr="007D6D9E">
              <w:rPr>
                <w:rFonts w:ascii="Verdana" w:hAnsi="Verdana" w:cs="Arial"/>
                <w:color w:val="000000" w:themeColor="text1"/>
                <w:sz w:val="22"/>
                <w:szCs w:val="22"/>
              </w:rPr>
              <w:t xml:space="preserve">usculoskeletal </w:t>
            </w:r>
            <w:r w:rsidR="00BB378F" w:rsidRPr="007D6D9E">
              <w:rPr>
                <w:rFonts w:ascii="Verdana" w:hAnsi="Verdana" w:cs="Arial"/>
                <w:color w:val="000000" w:themeColor="text1"/>
                <w:sz w:val="22"/>
                <w:szCs w:val="22"/>
              </w:rPr>
              <w:t>S</w:t>
            </w:r>
            <w:r w:rsidR="006F6286" w:rsidRPr="007D6D9E">
              <w:rPr>
                <w:rFonts w:ascii="Verdana" w:hAnsi="Verdana" w:cs="Arial"/>
                <w:color w:val="000000" w:themeColor="text1"/>
                <w:sz w:val="22"/>
                <w:szCs w:val="22"/>
              </w:rPr>
              <w:t>ervices</w:t>
            </w:r>
            <w:r w:rsidR="00BB378F" w:rsidRPr="007D6D9E">
              <w:rPr>
                <w:rFonts w:ascii="Verdana" w:hAnsi="Verdana" w:cs="Arial"/>
                <w:color w:val="000000" w:themeColor="text1"/>
                <w:sz w:val="22"/>
                <w:szCs w:val="22"/>
              </w:rPr>
              <w:t xml:space="preserve">; </w:t>
            </w:r>
            <w:r w:rsidR="006F6286" w:rsidRPr="007D6D9E">
              <w:rPr>
                <w:rFonts w:ascii="Verdana" w:hAnsi="Verdana" w:cs="Arial"/>
                <w:color w:val="000000" w:themeColor="text1"/>
                <w:sz w:val="22"/>
                <w:szCs w:val="22"/>
              </w:rPr>
              <w:t xml:space="preserve">Community </w:t>
            </w:r>
            <w:r w:rsidR="004A7A4F" w:rsidRPr="007D6D9E">
              <w:rPr>
                <w:rFonts w:ascii="Verdana" w:hAnsi="Verdana" w:cs="Arial"/>
                <w:color w:val="000000" w:themeColor="text1"/>
                <w:sz w:val="22"/>
                <w:szCs w:val="22"/>
              </w:rPr>
              <w:t>P</w:t>
            </w:r>
            <w:r w:rsidR="006F6286" w:rsidRPr="007D6D9E">
              <w:rPr>
                <w:rFonts w:ascii="Verdana" w:hAnsi="Verdana" w:cs="Arial"/>
                <w:color w:val="000000" w:themeColor="text1"/>
                <w:sz w:val="22"/>
                <w:szCs w:val="22"/>
              </w:rPr>
              <w:t xml:space="preserve">harmacists </w:t>
            </w:r>
            <w:r w:rsidR="00F16A82" w:rsidRPr="007D6D9E">
              <w:rPr>
                <w:rFonts w:ascii="Verdana" w:hAnsi="Verdana" w:cs="Arial"/>
                <w:color w:val="000000" w:themeColor="text1"/>
                <w:sz w:val="22"/>
                <w:szCs w:val="22"/>
              </w:rPr>
              <w:t xml:space="preserve">Community </w:t>
            </w:r>
            <w:r w:rsidR="004A7A4F" w:rsidRPr="007D6D9E">
              <w:rPr>
                <w:rFonts w:ascii="Verdana" w:hAnsi="Verdana" w:cs="Arial"/>
                <w:color w:val="000000" w:themeColor="text1"/>
                <w:sz w:val="22"/>
                <w:szCs w:val="22"/>
              </w:rPr>
              <w:t>N</w:t>
            </w:r>
            <w:r w:rsidR="00F16A82" w:rsidRPr="007D6D9E">
              <w:rPr>
                <w:rFonts w:ascii="Verdana" w:hAnsi="Verdana" w:cs="Arial"/>
                <w:color w:val="000000" w:themeColor="text1"/>
                <w:sz w:val="22"/>
                <w:szCs w:val="22"/>
              </w:rPr>
              <w:t>urses</w:t>
            </w:r>
            <w:r w:rsidR="00BB378F" w:rsidRPr="007D6D9E">
              <w:rPr>
                <w:rFonts w:ascii="Verdana" w:hAnsi="Verdana" w:cs="Arial"/>
                <w:color w:val="000000" w:themeColor="text1"/>
                <w:sz w:val="22"/>
                <w:szCs w:val="22"/>
              </w:rPr>
              <w:t xml:space="preserve">; </w:t>
            </w:r>
            <w:r w:rsidR="00F16A82" w:rsidRPr="007D6D9E">
              <w:rPr>
                <w:rFonts w:ascii="Verdana" w:hAnsi="Verdana" w:cs="Arial"/>
                <w:color w:val="000000" w:themeColor="text1"/>
                <w:sz w:val="22"/>
                <w:szCs w:val="22"/>
              </w:rPr>
              <w:t xml:space="preserve">Community </w:t>
            </w:r>
            <w:r w:rsidR="004A7A4F" w:rsidRPr="007D6D9E">
              <w:rPr>
                <w:rFonts w:ascii="Verdana" w:hAnsi="Verdana" w:cs="Arial"/>
                <w:color w:val="000000" w:themeColor="text1"/>
                <w:sz w:val="22"/>
                <w:szCs w:val="22"/>
              </w:rPr>
              <w:t>H</w:t>
            </w:r>
            <w:r w:rsidR="00F16A82" w:rsidRPr="007D6D9E">
              <w:rPr>
                <w:rFonts w:ascii="Verdana" w:hAnsi="Verdana" w:cs="Arial"/>
                <w:color w:val="000000" w:themeColor="text1"/>
                <w:sz w:val="22"/>
                <w:szCs w:val="22"/>
              </w:rPr>
              <w:t>ospitals</w:t>
            </w:r>
            <w:r w:rsidR="00BB378F" w:rsidRPr="007D6D9E">
              <w:rPr>
                <w:rFonts w:ascii="Verdana" w:hAnsi="Verdana" w:cs="Arial"/>
                <w:color w:val="000000" w:themeColor="text1"/>
                <w:sz w:val="22"/>
                <w:szCs w:val="22"/>
              </w:rPr>
              <w:t xml:space="preserve">; </w:t>
            </w:r>
            <w:r w:rsidR="00F16A82" w:rsidRPr="007D6D9E">
              <w:rPr>
                <w:rFonts w:ascii="Verdana" w:hAnsi="Verdana" w:cs="Arial"/>
                <w:color w:val="000000" w:themeColor="text1"/>
                <w:sz w:val="22"/>
                <w:szCs w:val="22"/>
              </w:rPr>
              <w:t xml:space="preserve">Clinical </w:t>
            </w:r>
            <w:r w:rsidR="005A24E7" w:rsidRPr="007D6D9E">
              <w:rPr>
                <w:rFonts w:ascii="Verdana" w:hAnsi="Verdana" w:cs="Arial"/>
                <w:color w:val="000000" w:themeColor="text1"/>
                <w:sz w:val="22"/>
                <w:szCs w:val="22"/>
              </w:rPr>
              <w:t>C</w:t>
            </w:r>
            <w:r w:rsidR="00F16A82" w:rsidRPr="007D6D9E">
              <w:rPr>
                <w:rFonts w:ascii="Verdana" w:hAnsi="Verdana" w:cs="Arial"/>
                <w:color w:val="000000" w:themeColor="text1"/>
                <w:sz w:val="22"/>
                <w:szCs w:val="22"/>
              </w:rPr>
              <w:t xml:space="preserve">ommissioning </w:t>
            </w:r>
            <w:r w:rsidR="005A24E7" w:rsidRPr="007D6D9E">
              <w:rPr>
                <w:rFonts w:ascii="Verdana" w:hAnsi="Verdana" w:cs="Arial"/>
                <w:color w:val="000000" w:themeColor="text1"/>
                <w:sz w:val="22"/>
                <w:szCs w:val="22"/>
              </w:rPr>
              <w:t>G</w:t>
            </w:r>
            <w:r w:rsidR="00F16A82" w:rsidRPr="007D6D9E">
              <w:rPr>
                <w:rFonts w:ascii="Verdana" w:hAnsi="Verdana" w:cs="Arial"/>
                <w:color w:val="000000" w:themeColor="text1"/>
                <w:sz w:val="22"/>
                <w:szCs w:val="22"/>
              </w:rPr>
              <w:t>roups</w:t>
            </w:r>
            <w:r w:rsidR="00BB378F" w:rsidRPr="007D6D9E">
              <w:rPr>
                <w:rFonts w:ascii="Verdana" w:hAnsi="Verdana" w:cs="Arial"/>
                <w:color w:val="000000" w:themeColor="text1"/>
                <w:sz w:val="22"/>
                <w:szCs w:val="22"/>
              </w:rPr>
              <w:t xml:space="preserve">; </w:t>
            </w:r>
            <w:r w:rsidR="005A24E7" w:rsidRPr="007D6D9E">
              <w:rPr>
                <w:rFonts w:ascii="Verdana" w:hAnsi="Verdana" w:cs="Arial"/>
                <w:color w:val="000000" w:themeColor="text1"/>
                <w:sz w:val="22"/>
                <w:szCs w:val="22"/>
              </w:rPr>
              <w:t>Local Authorities</w:t>
            </w:r>
            <w:r w:rsidR="008D02F9" w:rsidRPr="007D6D9E">
              <w:rPr>
                <w:rFonts w:ascii="Verdana" w:hAnsi="Verdana" w:cs="Arial"/>
                <w:color w:val="000000" w:themeColor="text1"/>
                <w:sz w:val="22"/>
                <w:szCs w:val="22"/>
              </w:rPr>
              <w:t xml:space="preserve">; </w:t>
            </w:r>
            <w:r w:rsidRPr="007D6D9E">
              <w:rPr>
                <w:rFonts w:ascii="Verdana" w:hAnsi="Verdana" w:cs="Arial"/>
                <w:color w:val="000000" w:themeColor="text1"/>
                <w:sz w:val="22"/>
                <w:szCs w:val="22"/>
              </w:rPr>
              <w:t>Public health</w:t>
            </w:r>
            <w:r w:rsidR="008D02F9" w:rsidRPr="007D6D9E">
              <w:rPr>
                <w:rFonts w:ascii="Verdana" w:hAnsi="Verdana" w:cs="Arial"/>
                <w:color w:val="000000" w:themeColor="text1"/>
                <w:sz w:val="22"/>
                <w:szCs w:val="22"/>
              </w:rPr>
              <w:t xml:space="preserve">; </w:t>
            </w:r>
            <w:r w:rsidR="00466D87" w:rsidRPr="007D6D9E">
              <w:rPr>
                <w:rFonts w:ascii="Verdana" w:hAnsi="Verdana" w:cs="Arial"/>
                <w:color w:val="000000" w:themeColor="text1"/>
                <w:sz w:val="22"/>
                <w:szCs w:val="22"/>
              </w:rPr>
              <w:t>A</w:t>
            </w:r>
            <w:r w:rsidR="005A24E7" w:rsidRPr="007D6D9E">
              <w:rPr>
                <w:rFonts w:ascii="Verdana" w:hAnsi="Verdana" w:cs="Arial"/>
                <w:color w:val="000000" w:themeColor="text1"/>
                <w:sz w:val="22"/>
                <w:szCs w:val="22"/>
              </w:rPr>
              <w:t>llied Health Professionals</w:t>
            </w:r>
            <w:r w:rsidR="008D02F9" w:rsidRPr="007D6D9E">
              <w:rPr>
                <w:rFonts w:ascii="Verdana" w:hAnsi="Verdana" w:cs="Arial"/>
                <w:color w:val="000000" w:themeColor="text1"/>
                <w:sz w:val="22"/>
                <w:szCs w:val="22"/>
              </w:rPr>
              <w:t>.</w:t>
            </w:r>
          </w:p>
          <w:p w14:paraId="28A055F7" w14:textId="0D0DF11A" w:rsidR="002729D2" w:rsidRPr="007D6D9E" w:rsidRDefault="00F16A82" w:rsidP="008D02F9">
            <w:pPr>
              <w:spacing w:after="120"/>
              <w:rPr>
                <w:rFonts w:ascii="Verdana" w:hAnsi="Verdana" w:cs="Arial"/>
                <w:sz w:val="22"/>
                <w:szCs w:val="22"/>
                <w:lang w:val="en-GB"/>
              </w:rPr>
            </w:pPr>
            <w:r w:rsidRPr="007D6D9E">
              <w:rPr>
                <w:rFonts w:ascii="Verdana" w:hAnsi="Verdana" w:cs="Arial"/>
                <w:b/>
                <w:sz w:val="22"/>
                <w:szCs w:val="22"/>
                <w:lang w:val="en-GB"/>
              </w:rPr>
              <w:t>[Edit this list as required</w:t>
            </w:r>
            <w:r w:rsidR="007E485F" w:rsidRPr="007D6D9E">
              <w:rPr>
                <w:rFonts w:ascii="Verdana" w:hAnsi="Verdana" w:cs="Arial"/>
                <w:b/>
                <w:sz w:val="22"/>
                <w:szCs w:val="22"/>
                <w:lang w:val="en-GB"/>
              </w:rPr>
              <w:t xml:space="preserve"> to ensure it is </w:t>
            </w:r>
            <w:proofErr w:type="gramStart"/>
            <w:r w:rsidR="007E485F" w:rsidRPr="007D6D9E">
              <w:rPr>
                <w:rFonts w:ascii="Verdana" w:hAnsi="Verdana" w:cs="Arial"/>
                <w:b/>
                <w:sz w:val="22"/>
                <w:szCs w:val="22"/>
                <w:lang w:val="en-GB"/>
              </w:rPr>
              <w:t>bespoke</w:t>
            </w:r>
            <w:proofErr w:type="gramEnd"/>
            <w:r w:rsidR="00D95E46" w:rsidRPr="007D6D9E">
              <w:rPr>
                <w:rFonts w:ascii="Verdana" w:hAnsi="Verdana" w:cs="Arial"/>
                <w:b/>
                <w:sz w:val="22"/>
                <w:szCs w:val="22"/>
                <w:lang w:val="en-GB"/>
              </w:rPr>
              <w:t xml:space="preserve"> for</w:t>
            </w:r>
            <w:r w:rsidR="007A6469" w:rsidRPr="007D6D9E">
              <w:rPr>
                <w:rFonts w:ascii="Verdana" w:hAnsi="Verdana" w:cs="Arial"/>
                <w:b/>
                <w:sz w:val="22"/>
                <w:szCs w:val="22"/>
                <w:lang w:val="en-GB"/>
              </w:rPr>
              <w:t xml:space="preserve"> </w:t>
            </w:r>
            <w:r w:rsidR="000B5978" w:rsidRPr="007D6D9E">
              <w:rPr>
                <w:rFonts w:ascii="Verdana" w:hAnsi="Verdana" w:cs="Arial"/>
                <w:b/>
                <w:sz w:val="22"/>
                <w:szCs w:val="22"/>
                <w:lang w:val="en-GB"/>
              </w:rPr>
              <w:t>the local population</w:t>
            </w:r>
            <w:r w:rsidRPr="007D6D9E">
              <w:rPr>
                <w:rFonts w:ascii="Verdana" w:hAnsi="Verdana" w:cs="Arial"/>
                <w:b/>
                <w:sz w:val="22"/>
                <w:szCs w:val="22"/>
                <w:lang w:val="en-GB"/>
              </w:rPr>
              <w:t>]</w:t>
            </w:r>
          </w:p>
        </w:tc>
      </w:tr>
      <w:tr w:rsidR="00075A83" w:rsidRPr="00125431" w14:paraId="1A8ECB66" w14:textId="77777777" w:rsidTr="344A66DE">
        <w:trPr>
          <w:trHeight w:val="121"/>
        </w:trPr>
        <w:tc>
          <w:tcPr>
            <w:tcW w:w="8908" w:type="dxa"/>
            <w:shd w:val="clear" w:color="auto" w:fill="595959" w:themeFill="text1" w:themeFillTint="A6"/>
          </w:tcPr>
          <w:p w14:paraId="0DC6B15C" w14:textId="77777777" w:rsidR="00075A83" w:rsidRPr="00125431" w:rsidRDefault="00075A83" w:rsidP="0026228C">
            <w:pPr>
              <w:pStyle w:val="Mainheading"/>
              <w:rPr>
                <w:rFonts w:ascii="Verdana" w:hAnsi="Verdana"/>
                <w:sz w:val="22"/>
                <w:szCs w:val="22"/>
              </w:rPr>
            </w:pPr>
            <w:r w:rsidRPr="00125431">
              <w:rPr>
                <w:rFonts w:ascii="Verdana" w:hAnsi="Verdana"/>
                <w:sz w:val="22"/>
                <w:szCs w:val="22"/>
              </w:rPr>
              <w:lastRenderedPageBreak/>
              <w:t>4.</w:t>
            </w:r>
            <w:r w:rsidRPr="00125431">
              <w:rPr>
                <w:rFonts w:ascii="Verdana" w:hAnsi="Verdana"/>
                <w:sz w:val="22"/>
                <w:szCs w:val="22"/>
              </w:rPr>
              <w:tab/>
              <w:t>Applicable Service Standards</w:t>
            </w:r>
          </w:p>
        </w:tc>
      </w:tr>
      <w:tr w:rsidR="00075A83" w:rsidRPr="00125431" w14:paraId="219423FA" w14:textId="77777777" w:rsidTr="344A66DE">
        <w:trPr>
          <w:trHeight w:val="121"/>
        </w:trPr>
        <w:tc>
          <w:tcPr>
            <w:tcW w:w="8908" w:type="dxa"/>
            <w:shd w:val="clear" w:color="auto" w:fill="auto"/>
          </w:tcPr>
          <w:p w14:paraId="731DCBA3" w14:textId="349B009B" w:rsidR="00B70D45" w:rsidRDefault="00075A83" w:rsidP="00707AED">
            <w:pPr>
              <w:spacing w:before="120" w:after="120"/>
              <w:jc w:val="both"/>
              <w:rPr>
                <w:rFonts w:ascii="Verdana" w:hAnsi="Verdana" w:cs="Arial"/>
                <w:b/>
                <w:color w:val="009966"/>
                <w:sz w:val="22"/>
                <w:szCs w:val="22"/>
                <w:lang w:val="en-GB"/>
              </w:rPr>
            </w:pPr>
            <w:r w:rsidRPr="00125431">
              <w:rPr>
                <w:rFonts w:ascii="Verdana" w:hAnsi="Verdana" w:cs="Arial"/>
                <w:b/>
                <w:color w:val="009966"/>
                <w:sz w:val="22"/>
                <w:szCs w:val="22"/>
                <w:lang w:val="en-GB"/>
              </w:rPr>
              <w:t>4</w:t>
            </w:r>
            <w:r w:rsidR="0005011B" w:rsidRPr="00125431">
              <w:rPr>
                <w:rFonts w:ascii="Verdana" w:hAnsi="Verdana" w:cs="Arial"/>
                <w:b/>
                <w:color w:val="009966"/>
                <w:sz w:val="22"/>
                <w:szCs w:val="22"/>
                <w:lang w:val="en-GB"/>
              </w:rPr>
              <w:t xml:space="preserve">.1 </w:t>
            </w:r>
            <w:r w:rsidR="009615A0" w:rsidRPr="00125431">
              <w:rPr>
                <w:rFonts w:ascii="Verdana" w:hAnsi="Verdana" w:cs="Arial"/>
                <w:b/>
                <w:color w:val="009966"/>
                <w:sz w:val="22"/>
                <w:szCs w:val="22"/>
                <w:lang w:val="en-GB"/>
              </w:rPr>
              <w:t>Applicable National S</w:t>
            </w:r>
            <w:r w:rsidRPr="00125431">
              <w:rPr>
                <w:rFonts w:ascii="Verdana" w:hAnsi="Verdana" w:cs="Arial"/>
                <w:b/>
                <w:color w:val="009966"/>
                <w:sz w:val="22"/>
                <w:szCs w:val="22"/>
                <w:lang w:val="en-GB"/>
              </w:rPr>
              <w:t xml:space="preserve">tandards </w:t>
            </w:r>
          </w:p>
          <w:p w14:paraId="0AF91419" w14:textId="77777777" w:rsidR="003B3057" w:rsidRPr="0066412A" w:rsidRDefault="003B3057" w:rsidP="003B3057">
            <w:pPr>
              <w:pStyle w:val="MMCallout1"/>
              <w:numPr>
                <w:ilvl w:val="0"/>
                <w:numId w:val="2"/>
              </w:numPr>
              <w:spacing w:after="120" w:line="240" w:lineRule="auto"/>
              <w:jc w:val="left"/>
              <w:rPr>
                <w:rFonts w:ascii="Verdana" w:hAnsi="Verdana" w:cs="Arial"/>
                <w:sz w:val="20"/>
                <w:szCs w:val="20"/>
              </w:rPr>
            </w:pPr>
            <w:r w:rsidRPr="0066412A">
              <w:rPr>
                <w:rFonts w:ascii="Verdana" w:hAnsi="Verdana" w:cs="Arial"/>
                <w:sz w:val="20"/>
                <w:szCs w:val="20"/>
              </w:rPr>
              <w:t>Osteoporosis: Assessing the risk of fragility fracture (2012, updated 2017) NICE Clinical Guideline 146</w:t>
            </w:r>
          </w:p>
          <w:p w14:paraId="1084B86F" w14:textId="77777777" w:rsidR="003B3057" w:rsidRPr="0066412A" w:rsidRDefault="003B3057" w:rsidP="003B3057">
            <w:pPr>
              <w:pStyle w:val="MMCallout1"/>
              <w:numPr>
                <w:ilvl w:val="0"/>
                <w:numId w:val="2"/>
              </w:numPr>
              <w:spacing w:after="120" w:line="240" w:lineRule="auto"/>
              <w:jc w:val="left"/>
              <w:rPr>
                <w:rFonts w:ascii="Verdana" w:hAnsi="Verdana" w:cs="Arial"/>
                <w:sz w:val="20"/>
                <w:szCs w:val="20"/>
              </w:rPr>
            </w:pPr>
            <w:r w:rsidRPr="0066412A">
              <w:rPr>
                <w:rFonts w:ascii="Verdana" w:hAnsi="Verdana" w:cs="Arial"/>
                <w:sz w:val="20"/>
                <w:szCs w:val="20"/>
              </w:rPr>
              <w:lastRenderedPageBreak/>
              <w:t>Osteoporosis (2017) NICE Quality Standard 16</w:t>
            </w:r>
          </w:p>
          <w:p w14:paraId="4EA43A63" w14:textId="77777777" w:rsidR="003B3057" w:rsidRPr="0066412A" w:rsidRDefault="003B3057" w:rsidP="003B3057">
            <w:pPr>
              <w:pStyle w:val="MMCallout1"/>
              <w:numPr>
                <w:ilvl w:val="0"/>
                <w:numId w:val="2"/>
              </w:numPr>
              <w:spacing w:after="120" w:line="240" w:lineRule="auto"/>
              <w:jc w:val="left"/>
              <w:rPr>
                <w:rFonts w:ascii="Verdana" w:hAnsi="Verdana" w:cs="Arial"/>
                <w:sz w:val="20"/>
                <w:szCs w:val="20"/>
              </w:rPr>
            </w:pPr>
            <w:r w:rsidRPr="0066412A">
              <w:rPr>
                <w:rFonts w:ascii="Verdana" w:hAnsi="Verdana" w:cs="Arial"/>
                <w:sz w:val="20"/>
                <w:szCs w:val="20"/>
              </w:rPr>
              <w:t>Hip Fracture: Management (2011, updated 2017) NICE Clinical Guideline 124</w:t>
            </w:r>
          </w:p>
          <w:p w14:paraId="0D60CD6C" w14:textId="77777777" w:rsidR="003B3057" w:rsidRPr="0066412A" w:rsidRDefault="003B3057" w:rsidP="003B3057">
            <w:pPr>
              <w:pStyle w:val="MMCallout1"/>
              <w:numPr>
                <w:ilvl w:val="0"/>
                <w:numId w:val="2"/>
              </w:numPr>
              <w:spacing w:after="120" w:line="240" w:lineRule="auto"/>
              <w:jc w:val="left"/>
              <w:rPr>
                <w:rFonts w:ascii="Verdana" w:hAnsi="Verdana" w:cs="Arial"/>
                <w:sz w:val="20"/>
                <w:szCs w:val="20"/>
              </w:rPr>
            </w:pPr>
            <w:r w:rsidRPr="0066412A">
              <w:rPr>
                <w:rFonts w:ascii="Verdana" w:hAnsi="Verdana" w:cs="Arial"/>
                <w:sz w:val="20"/>
                <w:szCs w:val="20"/>
              </w:rPr>
              <w:t>Hip fracture in adults (2012, updated 2017) NICE Quality Standard 16</w:t>
            </w:r>
          </w:p>
          <w:p w14:paraId="55B55976" w14:textId="77777777" w:rsidR="003B3057" w:rsidRPr="0066412A" w:rsidRDefault="003B3057" w:rsidP="003B3057">
            <w:pPr>
              <w:pStyle w:val="MMCallout1"/>
              <w:numPr>
                <w:ilvl w:val="0"/>
                <w:numId w:val="2"/>
              </w:numPr>
              <w:spacing w:after="120" w:line="240" w:lineRule="auto"/>
              <w:jc w:val="left"/>
              <w:rPr>
                <w:rFonts w:ascii="Verdana" w:hAnsi="Verdana" w:cs="Arial"/>
                <w:sz w:val="20"/>
                <w:szCs w:val="20"/>
              </w:rPr>
            </w:pPr>
            <w:r w:rsidRPr="0066412A">
              <w:rPr>
                <w:rFonts w:ascii="Verdana" w:hAnsi="Verdana" w:cs="Arial"/>
                <w:sz w:val="20"/>
                <w:szCs w:val="20"/>
              </w:rPr>
              <w:t>Falls in older people: Assessing risk and prevention (2013) NICE CG 161</w:t>
            </w:r>
          </w:p>
          <w:p w14:paraId="2935EAAC" w14:textId="77777777" w:rsidR="003B3057" w:rsidRPr="0066412A" w:rsidRDefault="003B3057" w:rsidP="003B3057">
            <w:pPr>
              <w:pStyle w:val="MMCallout1"/>
              <w:numPr>
                <w:ilvl w:val="0"/>
                <w:numId w:val="2"/>
              </w:numPr>
              <w:spacing w:after="120" w:line="240" w:lineRule="auto"/>
              <w:jc w:val="left"/>
              <w:rPr>
                <w:rFonts w:ascii="Verdana" w:hAnsi="Verdana" w:cs="Arial"/>
                <w:sz w:val="20"/>
                <w:szCs w:val="20"/>
              </w:rPr>
            </w:pPr>
            <w:r w:rsidRPr="0066412A">
              <w:rPr>
                <w:rFonts w:ascii="Verdana" w:hAnsi="Verdana" w:cs="Arial"/>
                <w:sz w:val="20"/>
                <w:szCs w:val="20"/>
              </w:rPr>
              <w:t>Falls in older people (2015, updated 2017) NICE Quality Standard 86</w:t>
            </w:r>
          </w:p>
          <w:p w14:paraId="1478840E" w14:textId="77777777" w:rsidR="003B3057" w:rsidRPr="0066412A" w:rsidRDefault="003B3057" w:rsidP="003B3057">
            <w:pPr>
              <w:pStyle w:val="MMCallout1"/>
              <w:numPr>
                <w:ilvl w:val="0"/>
                <w:numId w:val="2"/>
              </w:numPr>
              <w:spacing w:after="120" w:line="240" w:lineRule="auto"/>
              <w:jc w:val="left"/>
              <w:rPr>
                <w:rFonts w:ascii="Verdana" w:hAnsi="Verdana" w:cs="Arial"/>
                <w:sz w:val="20"/>
                <w:szCs w:val="20"/>
              </w:rPr>
            </w:pPr>
            <w:r w:rsidRPr="0066412A">
              <w:rPr>
                <w:rFonts w:ascii="Verdana" w:hAnsi="Verdana" w:cs="Arial"/>
                <w:sz w:val="20"/>
                <w:szCs w:val="20"/>
              </w:rPr>
              <w:t>Patient experience in adult NHS services: improving the experience of care for people using adult NHS services (2012) NICE Clinical Guideline 138</w:t>
            </w:r>
          </w:p>
          <w:p w14:paraId="6E6ED012" w14:textId="77777777" w:rsidR="003B3057" w:rsidRPr="0066412A" w:rsidRDefault="003B3057" w:rsidP="003B3057">
            <w:pPr>
              <w:pStyle w:val="MMCallout1"/>
              <w:numPr>
                <w:ilvl w:val="0"/>
                <w:numId w:val="2"/>
              </w:numPr>
              <w:spacing w:after="120" w:line="240" w:lineRule="auto"/>
              <w:jc w:val="left"/>
              <w:rPr>
                <w:rFonts w:ascii="Verdana" w:hAnsi="Verdana" w:cs="Arial"/>
                <w:sz w:val="20"/>
                <w:szCs w:val="20"/>
              </w:rPr>
            </w:pPr>
            <w:r w:rsidRPr="0066412A">
              <w:rPr>
                <w:rFonts w:ascii="Verdana" w:hAnsi="Verdana" w:cs="Arial"/>
                <w:sz w:val="20"/>
                <w:szCs w:val="20"/>
              </w:rPr>
              <w:t>Patient experience in adult NHS services (2012, updated 2019) NICE Quality Standard 15</w:t>
            </w:r>
          </w:p>
          <w:p w14:paraId="2C312B37" w14:textId="77777777" w:rsidR="003B3057" w:rsidRPr="0066412A" w:rsidRDefault="003B3057" w:rsidP="003B3057">
            <w:pPr>
              <w:pStyle w:val="MMCallout1"/>
              <w:numPr>
                <w:ilvl w:val="0"/>
                <w:numId w:val="2"/>
              </w:numPr>
              <w:spacing w:after="120" w:line="240" w:lineRule="auto"/>
              <w:jc w:val="left"/>
              <w:rPr>
                <w:rFonts w:ascii="Verdana" w:hAnsi="Verdana" w:cs="Arial"/>
                <w:sz w:val="20"/>
                <w:szCs w:val="20"/>
              </w:rPr>
            </w:pPr>
            <w:r w:rsidRPr="0066412A">
              <w:rPr>
                <w:rFonts w:ascii="Verdana" w:hAnsi="Verdana" w:cs="Arial"/>
                <w:sz w:val="20"/>
                <w:szCs w:val="20"/>
              </w:rPr>
              <w:t>Medicines adherence: involving patients in decisions about prescribed medicines and supporting adherence (2009) NICE Clinical Guideline 76</w:t>
            </w:r>
          </w:p>
          <w:p w14:paraId="7553AD60" w14:textId="77777777" w:rsidR="003B3057" w:rsidRPr="0066412A" w:rsidRDefault="003B3057" w:rsidP="003B3057">
            <w:pPr>
              <w:pStyle w:val="MMCallout1"/>
              <w:numPr>
                <w:ilvl w:val="0"/>
                <w:numId w:val="2"/>
              </w:numPr>
              <w:spacing w:after="120" w:line="240" w:lineRule="auto"/>
              <w:jc w:val="left"/>
              <w:rPr>
                <w:rFonts w:ascii="Verdana" w:hAnsi="Verdana" w:cs="Arial"/>
                <w:sz w:val="20"/>
                <w:szCs w:val="20"/>
              </w:rPr>
            </w:pPr>
            <w:r w:rsidRPr="0066412A">
              <w:rPr>
                <w:rFonts w:ascii="Verdana" w:hAnsi="Verdana" w:cs="Arial"/>
                <w:sz w:val="20"/>
                <w:szCs w:val="20"/>
              </w:rPr>
              <w:t>Bisphosphonates for treating osteoporosis (2017) NICE Technology Appraisal Guidance 464</w:t>
            </w:r>
          </w:p>
          <w:p w14:paraId="262F3842" w14:textId="730DA711" w:rsidR="003B3057" w:rsidRPr="0066412A" w:rsidRDefault="003B3057" w:rsidP="003B3057">
            <w:pPr>
              <w:pStyle w:val="MMCallout1"/>
              <w:numPr>
                <w:ilvl w:val="0"/>
                <w:numId w:val="2"/>
              </w:numPr>
              <w:spacing w:after="120" w:line="240" w:lineRule="auto"/>
              <w:jc w:val="left"/>
              <w:rPr>
                <w:rFonts w:ascii="Verdana" w:hAnsi="Verdana" w:cs="Arial"/>
                <w:sz w:val="20"/>
                <w:szCs w:val="20"/>
              </w:rPr>
            </w:pPr>
            <w:r w:rsidRPr="0066412A">
              <w:rPr>
                <w:rFonts w:ascii="Verdana" w:hAnsi="Verdana" w:cs="Arial"/>
                <w:sz w:val="20"/>
                <w:szCs w:val="20"/>
              </w:rPr>
              <w:t xml:space="preserve">Denosumab for the prevention of osteoporotic fractures in </w:t>
            </w:r>
            <w:r w:rsidR="007A6469" w:rsidRPr="0066412A">
              <w:rPr>
                <w:rFonts w:ascii="Verdana" w:hAnsi="Verdana" w:cs="Arial"/>
                <w:sz w:val="20"/>
                <w:szCs w:val="20"/>
              </w:rPr>
              <w:t>post-menopausal</w:t>
            </w:r>
            <w:r w:rsidRPr="0066412A">
              <w:rPr>
                <w:rFonts w:ascii="Verdana" w:hAnsi="Verdana" w:cs="Arial"/>
                <w:sz w:val="20"/>
                <w:szCs w:val="20"/>
              </w:rPr>
              <w:t xml:space="preserve"> women (2010) NICE Technology Appraisal Guidance 204</w:t>
            </w:r>
          </w:p>
          <w:p w14:paraId="329C40EC" w14:textId="77777777" w:rsidR="00467D24" w:rsidRDefault="003B3057" w:rsidP="00467D24">
            <w:pPr>
              <w:pStyle w:val="MMCallout1"/>
              <w:numPr>
                <w:ilvl w:val="0"/>
                <w:numId w:val="2"/>
              </w:numPr>
              <w:spacing w:after="0" w:line="240" w:lineRule="auto"/>
              <w:jc w:val="left"/>
              <w:rPr>
                <w:rFonts w:ascii="Verdana" w:hAnsi="Verdana" w:cs="Arial"/>
                <w:sz w:val="20"/>
                <w:szCs w:val="20"/>
              </w:rPr>
            </w:pPr>
            <w:r w:rsidRPr="0066412A">
              <w:rPr>
                <w:rFonts w:ascii="Verdana" w:hAnsi="Verdana" w:cs="Arial"/>
                <w:sz w:val="20"/>
                <w:szCs w:val="20"/>
              </w:rPr>
              <w:t>Raloxifene and teriparatide for the secondary prevention of osteoporotic fragility fractures in postmenopausal women (2008, updated 2018) NICE Technology Appraisal Guidance 161</w:t>
            </w:r>
          </w:p>
          <w:p w14:paraId="4CB46E52" w14:textId="09546DAB" w:rsidR="00467D24" w:rsidRPr="004F57FF" w:rsidRDefault="00D22847" w:rsidP="00467D24">
            <w:pPr>
              <w:pStyle w:val="MMCallout1"/>
              <w:numPr>
                <w:ilvl w:val="0"/>
                <w:numId w:val="2"/>
              </w:numPr>
              <w:spacing w:after="0" w:line="240" w:lineRule="auto"/>
              <w:jc w:val="left"/>
              <w:rPr>
                <w:rFonts w:ascii="Verdana" w:hAnsi="Verdana" w:cs="Arial"/>
                <w:sz w:val="20"/>
                <w:szCs w:val="20"/>
              </w:rPr>
            </w:pPr>
            <w:r w:rsidRPr="00467D24">
              <w:rPr>
                <w:rFonts w:ascii="Verdana" w:hAnsi="Verdana" w:cs="Calibri"/>
              </w:rPr>
              <w:t xml:space="preserve">SIGN 142, 2020 Management of Osteoporosis and the prevention of fragility fractures. A national clinical guideline. </w:t>
            </w:r>
          </w:p>
          <w:p w14:paraId="07000195" w14:textId="77777777" w:rsidR="004F57FF" w:rsidRPr="00467D24" w:rsidRDefault="004F57FF" w:rsidP="004F57FF">
            <w:pPr>
              <w:pStyle w:val="MMCallout1"/>
              <w:numPr>
                <w:ilvl w:val="0"/>
                <w:numId w:val="0"/>
              </w:numPr>
              <w:spacing w:after="0" w:line="240" w:lineRule="auto"/>
              <w:ind w:left="360"/>
              <w:jc w:val="left"/>
              <w:rPr>
                <w:rFonts w:ascii="Verdana" w:hAnsi="Verdana" w:cs="Arial"/>
                <w:sz w:val="20"/>
                <w:szCs w:val="20"/>
              </w:rPr>
            </w:pPr>
          </w:p>
          <w:p w14:paraId="074E226D" w14:textId="0BDACA97" w:rsidR="00072D51" w:rsidRDefault="00BE6926" w:rsidP="00467D24">
            <w:pPr>
              <w:pStyle w:val="MMCallout1"/>
              <w:numPr>
                <w:ilvl w:val="0"/>
                <w:numId w:val="0"/>
              </w:numPr>
              <w:spacing w:after="120" w:line="240" w:lineRule="auto"/>
              <w:rPr>
                <w:rFonts w:ascii="Verdana" w:hAnsi="Verdana" w:cs="Arial"/>
                <w:b/>
                <w:color w:val="009966"/>
                <w:u w:val="single"/>
              </w:rPr>
            </w:pPr>
            <w:r w:rsidRPr="00467D24">
              <w:rPr>
                <w:rFonts w:ascii="Verdana" w:hAnsi="Verdana" w:cs="Arial"/>
                <w:b/>
                <w:color w:val="009966"/>
              </w:rPr>
              <w:t xml:space="preserve">4.2 </w:t>
            </w:r>
            <w:r w:rsidR="00075A83" w:rsidRPr="00467D24">
              <w:rPr>
                <w:rFonts w:ascii="Verdana" w:hAnsi="Verdana" w:cs="Arial"/>
                <w:b/>
                <w:color w:val="009966"/>
              </w:rPr>
              <w:t>Applicable standards set out in Guidance and/or issued by a competent body (</w:t>
            </w:r>
            <w:r w:rsidR="00D31CF0" w:rsidRPr="00467D24">
              <w:rPr>
                <w:rFonts w:ascii="Verdana" w:hAnsi="Verdana" w:cs="Arial"/>
                <w:b/>
                <w:color w:val="009966"/>
              </w:rPr>
              <w:t>e.g.</w:t>
            </w:r>
            <w:r w:rsidR="00075A83" w:rsidRPr="00467D24">
              <w:rPr>
                <w:rFonts w:ascii="Verdana" w:hAnsi="Verdana" w:cs="Arial"/>
                <w:b/>
                <w:color w:val="009966"/>
              </w:rPr>
              <w:t xml:space="preserve"> Royal Colleges)</w:t>
            </w:r>
            <w:r w:rsidR="00075A83" w:rsidRPr="00467D24">
              <w:rPr>
                <w:rFonts w:ascii="Verdana" w:hAnsi="Verdana" w:cs="Arial"/>
                <w:b/>
                <w:color w:val="009966"/>
                <w:u w:val="single"/>
              </w:rPr>
              <w:t xml:space="preserve"> </w:t>
            </w:r>
          </w:p>
          <w:p w14:paraId="69FAD2B0" w14:textId="77777777" w:rsidR="00072D51" w:rsidRPr="0066412A" w:rsidRDefault="00072D51" w:rsidP="00072D51">
            <w:pPr>
              <w:pStyle w:val="MMCallout1"/>
              <w:numPr>
                <w:ilvl w:val="0"/>
                <w:numId w:val="2"/>
              </w:numPr>
              <w:spacing w:after="120" w:line="240" w:lineRule="auto"/>
              <w:jc w:val="left"/>
              <w:rPr>
                <w:rFonts w:ascii="Verdana" w:hAnsi="Verdana" w:cs="Arial"/>
                <w:sz w:val="20"/>
                <w:szCs w:val="20"/>
              </w:rPr>
            </w:pPr>
            <w:r w:rsidRPr="0066412A">
              <w:rPr>
                <w:rFonts w:ascii="Verdana" w:hAnsi="Verdana" w:cs="Arial"/>
                <w:sz w:val="20"/>
                <w:szCs w:val="20"/>
              </w:rPr>
              <w:t xml:space="preserve">Clinical Standards for Fracture Liaison Services (2019) The Royal Osteoporosis Society  </w:t>
            </w:r>
          </w:p>
          <w:p w14:paraId="567199F4" w14:textId="77777777" w:rsidR="00072D51" w:rsidRDefault="00072D51" w:rsidP="00072D51">
            <w:pPr>
              <w:pStyle w:val="MMCallout1"/>
              <w:numPr>
                <w:ilvl w:val="0"/>
                <w:numId w:val="2"/>
              </w:numPr>
              <w:spacing w:after="120" w:line="240" w:lineRule="auto"/>
              <w:ind w:left="357" w:hanging="357"/>
              <w:jc w:val="left"/>
              <w:rPr>
                <w:rFonts w:ascii="Verdana" w:hAnsi="Verdana" w:cs="Arial"/>
                <w:sz w:val="20"/>
                <w:szCs w:val="20"/>
              </w:rPr>
            </w:pPr>
            <w:r w:rsidRPr="0066412A">
              <w:rPr>
                <w:rFonts w:ascii="Verdana" w:hAnsi="Verdana" w:cs="Arial"/>
                <w:sz w:val="20"/>
                <w:szCs w:val="20"/>
              </w:rPr>
              <w:t>Clinical Guidance for the Effective Identification of Vertebral Fractures (2017)</w:t>
            </w:r>
            <w:r>
              <w:rPr>
                <w:rFonts w:ascii="Verdana" w:hAnsi="Verdana" w:cs="Arial"/>
                <w:sz w:val="20"/>
                <w:szCs w:val="20"/>
              </w:rPr>
              <w:t xml:space="preserve"> </w:t>
            </w:r>
            <w:r w:rsidRPr="0066412A">
              <w:rPr>
                <w:rFonts w:ascii="Verdana" w:hAnsi="Verdana" w:cs="Arial"/>
                <w:sz w:val="20"/>
                <w:szCs w:val="20"/>
              </w:rPr>
              <w:t xml:space="preserve">The Royal Osteoporosis Society  </w:t>
            </w:r>
          </w:p>
          <w:p w14:paraId="2885A839" w14:textId="77777777" w:rsidR="009635FC" w:rsidRDefault="00072D51" w:rsidP="009635FC">
            <w:pPr>
              <w:pStyle w:val="MMCallout1"/>
              <w:numPr>
                <w:ilvl w:val="0"/>
                <w:numId w:val="2"/>
              </w:numPr>
              <w:spacing w:after="120" w:line="240" w:lineRule="auto"/>
              <w:ind w:left="357" w:hanging="357"/>
              <w:jc w:val="left"/>
              <w:rPr>
                <w:rFonts w:ascii="Verdana" w:hAnsi="Verdana" w:cs="Arial"/>
                <w:sz w:val="20"/>
                <w:szCs w:val="20"/>
              </w:rPr>
            </w:pPr>
            <w:r>
              <w:rPr>
                <w:rFonts w:ascii="Verdana" w:hAnsi="Verdana" w:cs="Arial"/>
                <w:sz w:val="20"/>
                <w:szCs w:val="20"/>
              </w:rPr>
              <w:t>Falls and Fracture Consensus Statement (2017) Public Health England</w:t>
            </w:r>
          </w:p>
          <w:p w14:paraId="1D947C8A" w14:textId="77777777" w:rsidR="009635FC" w:rsidRPr="009635FC" w:rsidRDefault="001E69B3" w:rsidP="009635FC">
            <w:pPr>
              <w:pStyle w:val="MMCallout1"/>
              <w:numPr>
                <w:ilvl w:val="0"/>
                <w:numId w:val="2"/>
              </w:numPr>
              <w:spacing w:after="120" w:line="240" w:lineRule="auto"/>
              <w:ind w:left="357" w:hanging="357"/>
              <w:jc w:val="left"/>
              <w:rPr>
                <w:rFonts w:ascii="Verdana" w:hAnsi="Verdana" w:cs="Arial"/>
                <w:sz w:val="20"/>
                <w:szCs w:val="20"/>
              </w:rPr>
            </w:pPr>
            <w:hyperlink r:id="rId16" w:history="1">
              <w:r w:rsidR="00072D51" w:rsidRPr="004B23C2">
                <w:rPr>
                  <w:rStyle w:val="Hyperlink"/>
                  <w:rFonts w:ascii="Verdana" w:eastAsiaTheme="minorEastAsia" w:hAnsi="Verdana"/>
                  <w:color w:val="000000" w:themeColor="text1"/>
                  <w:sz w:val="20"/>
                  <w:szCs w:val="20"/>
                  <w:u w:val="none"/>
                </w:rPr>
                <w:t>Falls and Fractures: Effective interventions in health and social care</w:t>
              </w:r>
            </w:hyperlink>
            <w:r w:rsidR="00072D51" w:rsidRPr="009635FC">
              <w:rPr>
                <w:rFonts w:ascii="Verdana" w:hAnsi="Verdana" w:cs="Arial"/>
                <w:color w:val="000000" w:themeColor="text1"/>
                <w:sz w:val="20"/>
                <w:szCs w:val="20"/>
              </w:rPr>
              <w:t xml:space="preserve"> (2009) Department of Health</w:t>
            </w:r>
          </w:p>
          <w:p w14:paraId="66FFB676" w14:textId="77777777" w:rsidR="009635FC" w:rsidRPr="009635FC" w:rsidRDefault="00072D51" w:rsidP="009635FC">
            <w:pPr>
              <w:pStyle w:val="MMCallout1"/>
              <w:numPr>
                <w:ilvl w:val="0"/>
                <w:numId w:val="2"/>
              </w:numPr>
              <w:spacing w:after="120" w:line="240" w:lineRule="auto"/>
              <w:ind w:left="357" w:hanging="357"/>
              <w:jc w:val="left"/>
              <w:rPr>
                <w:rFonts w:ascii="Verdana" w:hAnsi="Verdana" w:cs="Arial"/>
                <w:sz w:val="20"/>
                <w:szCs w:val="20"/>
              </w:rPr>
            </w:pPr>
            <w:r w:rsidRPr="009635FC">
              <w:rPr>
                <w:rFonts w:ascii="Verdana" w:hAnsi="Verdana" w:cs="Arial"/>
                <w:color w:val="000000" w:themeColor="text1"/>
                <w:sz w:val="20"/>
              </w:rPr>
              <w:t>Fracture Liaison Service Database Annual Report.  Beyond measurement: a focus on quality improvement (2020) Royal College of Physicians</w:t>
            </w:r>
          </w:p>
          <w:p w14:paraId="102D8181" w14:textId="374B837A" w:rsidR="00072D51" w:rsidRPr="009635FC" w:rsidRDefault="001E69B3" w:rsidP="009635FC">
            <w:pPr>
              <w:pStyle w:val="MMCallout1"/>
              <w:numPr>
                <w:ilvl w:val="0"/>
                <w:numId w:val="2"/>
              </w:numPr>
              <w:spacing w:after="120" w:line="240" w:lineRule="auto"/>
              <w:ind w:left="357" w:hanging="357"/>
              <w:jc w:val="left"/>
              <w:rPr>
                <w:rFonts w:ascii="Verdana" w:hAnsi="Verdana" w:cs="Arial"/>
                <w:sz w:val="20"/>
                <w:szCs w:val="20"/>
              </w:rPr>
            </w:pPr>
            <w:hyperlink r:id="rId17" w:history="1">
              <w:r w:rsidR="00072D51" w:rsidRPr="004B23C2">
                <w:rPr>
                  <w:rStyle w:val="Hyperlink"/>
                  <w:rFonts w:ascii="Verdana" w:eastAsiaTheme="minorEastAsia" w:hAnsi="Verdana"/>
                  <w:color w:val="000000" w:themeColor="text1"/>
                  <w:sz w:val="20"/>
                  <w:szCs w:val="20"/>
                  <w:u w:val="none"/>
                </w:rPr>
                <w:t>The Blue Book: The Care of Patients with Fragility Fractures</w:t>
              </w:r>
            </w:hyperlink>
            <w:r w:rsidR="00072D51" w:rsidRPr="004B23C2">
              <w:rPr>
                <w:rStyle w:val="Hyperlink"/>
                <w:rFonts w:ascii="Verdana" w:eastAsiaTheme="minorEastAsia" w:hAnsi="Verdana"/>
                <w:color w:val="000000" w:themeColor="text1"/>
                <w:sz w:val="20"/>
                <w:szCs w:val="20"/>
                <w:u w:val="none"/>
              </w:rPr>
              <w:t xml:space="preserve"> (</w:t>
            </w:r>
            <w:r w:rsidR="00072D51" w:rsidRPr="009635FC">
              <w:rPr>
                <w:rFonts w:ascii="Verdana" w:hAnsi="Verdana" w:cs="Arial"/>
                <w:color w:val="000000" w:themeColor="text1"/>
                <w:sz w:val="20"/>
              </w:rPr>
              <w:t>Standards 5 and 6) (2007) British Orthopaedic Association</w:t>
            </w:r>
          </w:p>
          <w:p w14:paraId="27E1BA58" w14:textId="294374A5" w:rsidR="0005011B" w:rsidRPr="00553EFA" w:rsidRDefault="0005011B" w:rsidP="00D22847">
            <w:pPr>
              <w:pStyle w:val="ListParagraph"/>
              <w:numPr>
                <w:ilvl w:val="0"/>
                <w:numId w:val="2"/>
              </w:numPr>
              <w:spacing w:after="120"/>
              <w:jc w:val="both"/>
              <w:rPr>
                <w:rFonts w:ascii="Verdana" w:hAnsi="Verdana" w:cs="Arial"/>
                <w:color w:val="000000" w:themeColor="text1"/>
                <w:sz w:val="22"/>
                <w:szCs w:val="22"/>
              </w:rPr>
            </w:pPr>
            <w:r w:rsidRPr="00553EFA">
              <w:rPr>
                <w:rFonts w:ascii="Verdana" w:hAnsi="Verdana" w:cs="Arial"/>
                <w:color w:val="000000" w:themeColor="text1"/>
                <w:sz w:val="22"/>
                <w:szCs w:val="22"/>
              </w:rPr>
              <w:t xml:space="preserve">Royal College Physicians. </w:t>
            </w:r>
            <w:r w:rsidRPr="000310DB">
              <w:rPr>
                <w:rFonts w:ascii="Verdana" w:hAnsi="Verdana" w:cs="Arial"/>
                <w:sz w:val="22"/>
                <w:szCs w:val="22"/>
              </w:rPr>
              <w:t>Falls and Fragility Fracture Audit Programme (FFFAP)</w:t>
            </w:r>
            <w:r w:rsidR="00F06D27" w:rsidRPr="00553EFA">
              <w:rPr>
                <w:rFonts w:ascii="Verdana" w:hAnsi="Verdana" w:cs="Arial"/>
                <w:sz w:val="22"/>
                <w:szCs w:val="22"/>
              </w:rPr>
              <w:t xml:space="preserve"> </w:t>
            </w:r>
          </w:p>
          <w:p w14:paraId="0D8A2085" w14:textId="66946E98" w:rsidR="00022E07" w:rsidRPr="00553EFA" w:rsidRDefault="00C81D1E" w:rsidP="00D22847">
            <w:pPr>
              <w:pStyle w:val="ListParagraph"/>
              <w:numPr>
                <w:ilvl w:val="0"/>
                <w:numId w:val="2"/>
              </w:numPr>
              <w:spacing w:after="120"/>
              <w:jc w:val="both"/>
              <w:rPr>
                <w:rFonts w:ascii="Verdana" w:hAnsi="Verdana" w:cs="Arial"/>
                <w:color w:val="000000" w:themeColor="text1"/>
                <w:sz w:val="22"/>
                <w:szCs w:val="22"/>
              </w:rPr>
            </w:pPr>
            <w:r w:rsidRPr="00553EFA">
              <w:rPr>
                <w:rFonts w:ascii="Verdana" w:hAnsi="Verdana" w:cs="Arial"/>
                <w:color w:val="000000" w:themeColor="text1"/>
                <w:sz w:val="22"/>
                <w:szCs w:val="22"/>
              </w:rPr>
              <w:t>Royal College Physicians</w:t>
            </w:r>
            <w:r>
              <w:rPr>
                <w:rFonts w:ascii="Verdana" w:hAnsi="Verdana" w:cs="Arial"/>
                <w:color w:val="000000" w:themeColor="text1"/>
                <w:sz w:val="22"/>
                <w:szCs w:val="22"/>
              </w:rPr>
              <w:t xml:space="preserve">. </w:t>
            </w:r>
            <w:r w:rsidRPr="002E491D">
              <w:rPr>
                <w:rFonts w:ascii="Verdana" w:hAnsi="Verdana" w:cs="Arial"/>
                <w:sz w:val="22"/>
                <w:szCs w:val="22"/>
              </w:rPr>
              <w:t>FLS Commissioner Report 2019</w:t>
            </w:r>
            <w:r>
              <w:rPr>
                <w:rFonts w:ascii="Verdana" w:hAnsi="Verdana" w:cs="Arial"/>
                <w:color w:val="000000" w:themeColor="text1"/>
                <w:sz w:val="22"/>
                <w:szCs w:val="22"/>
              </w:rPr>
              <w:t xml:space="preserve">. </w:t>
            </w:r>
          </w:p>
          <w:p w14:paraId="38AF9B94" w14:textId="4D234CBF" w:rsidR="0005011B" w:rsidRPr="00065BE7" w:rsidRDefault="00F60B65" w:rsidP="00D22847">
            <w:pPr>
              <w:pStyle w:val="ListParagraph"/>
              <w:numPr>
                <w:ilvl w:val="0"/>
                <w:numId w:val="2"/>
              </w:numPr>
              <w:spacing w:after="120"/>
              <w:jc w:val="both"/>
              <w:rPr>
                <w:rFonts w:ascii="Verdana" w:hAnsi="Verdana" w:cs="Arial"/>
                <w:color w:val="000000" w:themeColor="text1"/>
                <w:sz w:val="22"/>
                <w:szCs w:val="22"/>
              </w:rPr>
            </w:pPr>
            <w:r w:rsidRPr="00065BE7">
              <w:rPr>
                <w:rFonts w:ascii="Verdana" w:hAnsi="Verdana" w:cs="Arial"/>
                <w:color w:val="000000" w:themeColor="text1"/>
                <w:sz w:val="22"/>
                <w:szCs w:val="22"/>
              </w:rPr>
              <w:t>Royal</w:t>
            </w:r>
            <w:r w:rsidR="00A91B58" w:rsidRPr="00065BE7">
              <w:rPr>
                <w:rFonts w:ascii="Verdana" w:hAnsi="Verdana" w:cs="Arial"/>
                <w:color w:val="000000" w:themeColor="text1"/>
                <w:sz w:val="22"/>
                <w:szCs w:val="22"/>
              </w:rPr>
              <w:t xml:space="preserve"> Osteoporosis Society. </w:t>
            </w:r>
            <w:r w:rsidR="00A91B58" w:rsidRPr="002E491D">
              <w:rPr>
                <w:rFonts w:ascii="Verdana" w:hAnsi="Verdana" w:cs="Arial"/>
                <w:sz w:val="22"/>
                <w:szCs w:val="22"/>
              </w:rPr>
              <w:t xml:space="preserve">Competency Framework </w:t>
            </w:r>
            <w:r w:rsidR="00065BE7" w:rsidRPr="002E491D">
              <w:rPr>
                <w:rFonts w:ascii="Verdana" w:hAnsi="Verdana" w:cs="Arial"/>
                <w:sz w:val="22"/>
                <w:szCs w:val="22"/>
              </w:rPr>
              <w:t>f</w:t>
            </w:r>
            <w:r w:rsidR="00A91B58" w:rsidRPr="002E491D">
              <w:rPr>
                <w:rFonts w:ascii="Verdana" w:hAnsi="Verdana" w:cs="Arial"/>
                <w:sz w:val="22"/>
                <w:szCs w:val="22"/>
              </w:rPr>
              <w:t>or Fracture Prevention Practitioners.</w:t>
            </w:r>
            <w:r w:rsidR="00A91B58" w:rsidRPr="00065BE7">
              <w:rPr>
                <w:rFonts w:ascii="Verdana" w:hAnsi="Verdana" w:cs="Arial"/>
                <w:color w:val="000000" w:themeColor="text1"/>
                <w:sz w:val="22"/>
                <w:szCs w:val="22"/>
              </w:rPr>
              <w:t xml:space="preserve"> 201</w:t>
            </w:r>
            <w:r w:rsidR="002F15D9" w:rsidRPr="00065BE7">
              <w:rPr>
                <w:rFonts w:ascii="Verdana" w:hAnsi="Verdana" w:cs="Arial"/>
                <w:color w:val="000000" w:themeColor="text1"/>
                <w:sz w:val="22"/>
                <w:szCs w:val="22"/>
              </w:rPr>
              <w:t>7</w:t>
            </w:r>
            <w:r w:rsidR="00A91B58" w:rsidRPr="00065BE7">
              <w:rPr>
                <w:rFonts w:ascii="Verdana" w:hAnsi="Verdana" w:cs="Arial"/>
                <w:color w:val="000000" w:themeColor="text1"/>
                <w:sz w:val="22"/>
                <w:szCs w:val="22"/>
              </w:rPr>
              <w:t xml:space="preserve"> </w:t>
            </w:r>
          </w:p>
          <w:p w14:paraId="6B9875D0" w14:textId="62AE9D36" w:rsidR="00FB3898" w:rsidRPr="00125431" w:rsidRDefault="00FB3898" w:rsidP="00D22847">
            <w:pPr>
              <w:pStyle w:val="ListParagraph"/>
              <w:numPr>
                <w:ilvl w:val="0"/>
                <w:numId w:val="2"/>
              </w:numPr>
              <w:spacing w:after="120"/>
              <w:jc w:val="both"/>
              <w:rPr>
                <w:rFonts w:ascii="Verdana" w:hAnsi="Verdana" w:cs="Arial"/>
                <w:color w:val="000000" w:themeColor="text1"/>
                <w:sz w:val="22"/>
                <w:szCs w:val="22"/>
              </w:rPr>
            </w:pPr>
            <w:r w:rsidRPr="00674DE9">
              <w:rPr>
                <w:rFonts w:ascii="Verdana" w:hAnsi="Verdana" w:cs="Arial"/>
                <w:color w:val="000000" w:themeColor="text1"/>
                <w:sz w:val="22"/>
                <w:szCs w:val="22"/>
              </w:rPr>
              <w:t>Intern</w:t>
            </w:r>
            <w:r w:rsidR="00674DE9" w:rsidRPr="00674DE9">
              <w:rPr>
                <w:rFonts w:ascii="Verdana" w:hAnsi="Verdana" w:cs="Arial"/>
                <w:color w:val="000000" w:themeColor="text1"/>
                <w:sz w:val="22"/>
                <w:szCs w:val="22"/>
              </w:rPr>
              <w:t xml:space="preserve">ational Osteoporosis Foundation: </w:t>
            </w:r>
            <w:r w:rsidR="00674DE9" w:rsidRPr="002E491D">
              <w:rPr>
                <w:rFonts w:ascii="Verdana" w:hAnsi="Verdana" w:cs="Arial"/>
                <w:sz w:val="22"/>
                <w:szCs w:val="22"/>
              </w:rPr>
              <w:t>Broken Bones, Broken Lives</w:t>
            </w:r>
            <w:r w:rsidR="004E30DB">
              <w:rPr>
                <w:rFonts w:ascii="Verdana" w:hAnsi="Verdana" w:cs="Arial"/>
                <w:color w:val="000000" w:themeColor="text1"/>
                <w:sz w:val="22"/>
                <w:szCs w:val="22"/>
              </w:rPr>
              <w:t>: a roadmap to solve the fragility fracture crisis in Europe</w:t>
            </w:r>
            <w:r w:rsidR="00674DE9" w:rsidRPr="00674DE9">
              <w:rPr>
                <w:rFonts w:ascii="Verdana" w:hAnsi="Verdana" w:cs="Arial"/>
                <w:color w:val="000000" w:themeColor="text1"/>
                <w:sz w:val="22"/>
                <w:szCs w:val="22"/>
              </w:rPr>
              <w:t xml:space="preserve">. </w:t>
            </w:r>
          </w:p>
          <w:p w14:paraId="562CB354" w14:textId="3966C734" w:rsidR="00E62C87" w:rsidRDefault="00E62C87" w:rsidP="00D22847">
            <w:pPr>
              <w:pStyle w:val="ListParagraph"/>
              <w:numPr>
                <w:ilvl w:val="0"/>
                <w:numId w:val="2"/>
              </w:numPr>
              <w:spacing w:after="120"/>
              <w:jc w:val="both"/>
              <w:rPr>
                <w:rFonts w:ascii="Verdana" w:hAnsi="Verdana" w:cs="Arial"/>
                <w:color w:val="000000" w:themeColor="text1"/>
                <w:sz w:val="22"/>
                <w:szCs w:val="22"/>
              </w:rPr>
            </w:pPr>
            <w:r w:rsidRPr="00AB02DC">
              <w:rPr>
                <w:rFonts w:ascii="Verdana" w:hAnsi="Verdana" w:cs="Arial"/>
                <w:color w:val="000000" w:themeColor="text1"/>
                <w:sz w:val="22"/>
                <w:szCs w:val="22"/>
              </w:rPr>
              <w:t>All Wales Osteoporosis Advisory Group</w:t>
            </w:r>
            <w:r w:rsidR="00F06D27">
              <w:rPr>
                <w:rFonts w:ascii="Verdana" w:hAnsi="Verdana" w:cs="Arial"/>
                <w:color w:val="000000" w:themeColor="text1"/>
                <w:sz w:val="22"/>
                <w:szCs w:val="22"/>
              </w:rPr>
              <w:t xml:space="preserve"> (</w:t>
            </w:r>
            <w:r w:rsidR="00F06D27" w:rsidRPr="00AB02DC">
              <w:rPr>
                <w:rFonts w:ascii="Verdana" w:hAnsi="Verdana" w:cs="Arial"/>
                <w:color w:val="000000" w:themeColor="text1"/>
                <w:sz w:val="22"/>
                <w:szCs w:val="22"/>
              </w:rPr>
              <w:t>2015</w:t>
            </w:r>
            <w:r w:rsidR="00F06D27">
              <w:rPr>
                <w:rFonts w:ascii="Verdana" w:hAnsi="Verdana" w:cs="Arial"/>
                <w:color w:val="000000" w:themeColor="text1"/>
                <w:sz w:val="22"/>
                <w:szCs w:val="22"/>
              </w:rPr>
              <w:t>)</w:t>
            </w:r>
            <w:r w:rsidRPr="00AB02DC">
              <w:rPr>
                <w:rFonts w:ascii="Verdana" w:hAnsi="Verdana" w:cs="Arial"/>
                <w:color w:val="000000" w:themeColor="text1"/>
                <w:sz w:val="22"/>
                <w:szCs w:val="22"/>
              </w:rPr>
              <w:t xml:space="preserve">. </w:t>
            </w:r>
            <w:hyperlink r:id="rId18" w:history="1">
              <w:r w:rsidRPr="00AB02DC">
                <w:rPr>
                  <w:rFonts w:ascii="Verdana" w:hAnsi="Verdana"/>
                  <w:color w:val="000000" w:themeColor="text1"/>
                  <w:sz w:val="22"/>
                  <w:szCs w:val="22"/>
                </w:rPr>
                <w:t>All Wales Audit of Secondary Prevention of Osteoporotic Fractures</w:t>
              </w:r>
            </w:hyperlink>
            <w:r w:rsidRPr="00AB02DC">
              <w:rPr>
                <w:rFonts w:ascii="Verdana" w:hAnsi="Verdana" w:cs="Arial"/>
                <w:color w:val="000000" w:themeColor="text1"/>
                <w:sz w:val="22"/>
                <w:szCs w:val="22"/>
              </w:rPr>
              <w:t xml:space="preserve">. </w:t>
            </w:r>
          </w:p>
          <w:p w14:paraId="36F4EB89" w14:textId="2CCBF0BE" w:rsidR="003E105A" w:rsidRPr="003E105A" w:rsidRDefault="004B23C2" w:rsidP="003E105A">
            <w:pPr>
              <w:spacing w:after="120"/>
              <w:jc w:val="both"/>
              <w:rPr>
                <w:rFonts w:ascii="Verdana" w:hAnsi="Verdana" w:cs="Arial"/>
                <w:b/>
                <w:bCs/>
                <w:color w:val="000000" w:themeColor="text1"/>
                <w:sz w:val="22"/>
                <w:szCs w:val="22"/>
              </w:rPr>
            </w:pPr>
            <w:r>
              <w:rPr>
                <w:rFonts w:ascii="Verdana" w:hAnsi="Verdana" w:cs="Arial"/>
                <w:b/>
                <w:bCs/>
                <w:color w:val="000000" w:themeColor="text1"/>
                <w:sz w:val="22"/>
                <w:szCs w:val="22"/>
              </w:rPr>
              <w:t xml:space="preserve">     </w:t>
            </w:r>
            <w:r w:rsidR="003E105A" w:rsidRPr="003E105A">
              <w:rPr>
                <w:rFonts w:ascii="Verdana" w:hAnsi="Verdana" w:cs="Arial"/>
                <w:b/>
                <w:bCs/>
                <w:color w:val="000000" w:themeColor="text1"/>
                <w:sz w:val="22"/>
                <w:szCs w:val="22"/>
              </w:rPr>
              <w:t>[edit this list as required]</w:t>
            </w:r>
          </w:p>
          <w:p w14:paraId="317980F3" w14:textId="415475B1" w:rsidR="00075A83" w:rsidRPr="00125431" w:rsidRDefault="00075A83" w:rsidP="00707AED">
            <w:pPr>
              <w:spacing w:after="120"/>
              <w:jc w:val="both"/>
              <w:rPr>
                <w:rFonts w:ascii="Verdana" w:hAnsi="Verdana" w:cs="Arial"/>
                <w:b/>
                <w:color w:val="009966"/>
                <w:sz w:val="22"/>
                <w:szCs w:val="22"/>
                <w:lang w:val="en-GB"/>
              </w:rPr>
            </w:pPr>
            <w:r w:rsidRPr="00125431">
              <w:rPr>
                <w:rFonts w:ascii="Verdana" w:hAnsi="Verdana" w:cs="Arial"/>
                <w:b/>
                <w:color w:val="009966"/>
                <w:sz w:val="22"/>
                <w:szCs w:val="22"/>
                <w:lang w:val="en-GB"/>
              </w:rPr>
              <w:lastRenderedPageBreak/>
              <w:t>4.3</w:t>
            </w:r>
            <w:r w:rsidR="00F16A82" w:rsidRPr="00125431">
              <w:rPr>
                <w:rFonts w:ascii="Verdana" w:hAnsi="Verdana" w:cs="Arial"/>
                <w:b/>
                <w:color w:val="009966"/>
                <w:sz w:val="22"/>
                <w:szCs w:val="22"/>
                <w:lang w:val="en-GB"/>
              </w:rPr>
              <w:t xml:space="preserve"> </w:t>
            </w:r>
            <w:r w:rsidRPr="00125431">
              <w:rPr>
                <w:rFonts w:ascii="Verdana" w:hAnsi="Verdana" w:cs="Arial"/>
                <w:b/>
                <w:color w:val="009966"/>
                <w:sz w:val="22"/>
                <w:szCs w:val="22"/>
                <w:lang w:val="en-GB"/>
              </w:rPr>
              <w:t>Applicable local standards</w:t>
            </w:r>
          </w:p>
          <w:p w14:paraId="572E2D7E" w14:textId="2B99CA9B" w:rsidR="00900CFA" w:rsidRPr="00125431" w:rsidRDefault="00A4001D" w:rsidP="00707AED">
            <w:pPr>
              <w:spacing w:after="120"/>
              <w:ind w:left="357"/>
              <w:jc w:val="both"/>
              <w:rPr>
                <w:rFonts w:ascii="Verdana" w:hAnsi="Verdana" w:cs="Arial"/>
                <w:b/>
                <w:sz w:val="22"/>
                <w:szCs w:val="22"/>
                <w:lang w:val="en-GB"/>
              </w:rPr>
            </w:pPr>
            <w:r w:rsidRPr="00125431">
              <w:rPr>
                <w:rFonts w:ascii="Verdana" w:hAnsi="Verdana" w:cs="Arial"/>
                <w:b/>
                <w:sz w:val="22"/>
                <w:szCs w:val="22"/>
                <w:lang w:val="en-GB"/>
              </w:rPr>
              <w:t>[Insert agreed local standards here]</w:t>
            </w:r>
          </w:p>
        </w:tc>
      </w:tr>
      <w:tr w:rsidR="00075A83" w:rsidRPr="00125431" w14:paraId="46D670BB" w14:textId="77777777" w:rsidTr="344A66DE">
        <w:trPr>
          <w:trHeight w:val="268"/>
        </w:trPr>
        <w:tc>
          <w:tcPr>
            <w:tcW w:w="8908" w:type="dxa"/>
            <w:shd w:val="clear" w:color="auto" w:fill="595959" w:themeFill="text1" w:themeFillTint="A6"/>
          </w:tcPr>
          <w:p w14:paraId="4B34E232" w14:textId="77777777" w:rsidR="00075A83" w:rsidRPr="00125431" w:rsidRDefault="006B0FC3" w:rsidP="00707AED">
            <w:pPr>
              <w:pStyle w:val="Mainheading"/>
              <w:jc w:val="both"/>
              <w:rPr>
                <w:rFonts w:ascii="Verdana" w:hAnsi="Verdana"/>
                <w:sz w:val="22"/>
                <w:szCs w:val="22"/>
              </w:rPr>
            </w:pPr>
            <w:r w:rsidRPr="00125431">
              <w:rPr>
                <w:rFonts w:ascii="Verdana" w:hAnsi="Verdana"/>
                <w:sz w:val="22"/>
                <w:szCs w:val="22"/>
              </w:rPr>
              <w:lastRenderedPageBreak/>
              <w:t>5.</w:t>
            </w:r>
            <w:r w:rsidRPr="00125431">
              <w:rPr>
                <w:rFonts w:ascii="Verdana" w:hAnsi="Verdana"/>
                <w:sz w:val="22"/>
                <w:szCs w:val="22"/>
              </w:rPr>
              <w:tab/>
              <w:t>Applicable Quality Requirements and CQUIN G</w:t>
            </w:r>
            <w:r w:rsidR="00075A83" w:rsidRPr="00125431">
              <w:rPr>
                <w:rFonts w:ascii="Verdana" w:hAnsi="Verdana"/>
                <w:sz w:val="22"/>
                <w:szCs w:val="22"/>
              </w:rPr>
              <w:t>oals</w:t>
            </w:r>
          </w:p>
        </w:tc>
      </w:tr>
      <w:tr w:rsidR="00075A83" w:rsidRPr="00125431" w14:paraId="042B5ACD" w14:textId="77777777" w:rsidTr="344A66DE">
        <w:trPr>
          <w:trHeight w:val="899"/>
        </w:trPr>
        <w:tc>
          <w:tcPr>
            <w:tcW w:w="8908" w:type="dxa"/>
            <w:shd w:val="clear" w:color="auto" w:fill="auto"/>
          </w:tcPr>
          <w:p w14:paraId="2BAF843C" w14:textId="77777777" w:rsidR="00075A83" w:rsidRPr="00125431" w:rsidRDefault="00D31CF0" w:rsidP="00707AED">
            <w:pPr>
              <w:spacing w:before="120" w:after="120"/>
              <w:jc w:val="both"/>
              <w:rPr>
                <w:rFonts w:ascii="Verdana" w:hAnsi="Verdana" w:cs="Arial"/>
                <w:b/>
                <w:color w:val="009966"/>
                <w:sz w:val="22"/>
                <w:szCs w:val="22"/>
                <w:lang w:val="en-GB"/>
              </w:rPr>
            </w:pPr>
            <w:r w:rsidRPr="00125431">
              <w:rPr>
                <w:rFonts w:ascii="Verdana" w:hAnsi="Verdana" w:cs="Arial"/>
                <w:b/>
                <w:color w:val="009966"/>
                <w:sz w:val="22"/>
                <w:szCs w:val="22"/>
                <w:lang w:val="en-GB"/>
              </w:rPr>
              <w:t xml:space="preserve">5.1 </w:t>
            </w:r>
            <w:r w:rsidR="00075A83" w:rsidRPr="00125431">
              <w:rPr>
                <w:rFonts w:ascii="Verdana" w:hAnsi="Verdana" w:cs="Arial"/>
                <w:b/>
                <w:color w:val="009966"/>
                <w:sz w:val="22"/>
                <w:szCs w:val="22"/>
                <w:lang w:val="en-GB"/>
              </w:rPr>
              <w:t>Applicable Quality Requirements (See Schedule 4 Parts [A-D])</w:t>
            </w:r>
          </w:p>
          <w:p w14:paraId="0770C486" w14:textId="77777777" w:rsidR="00362482" w:rsidRPr="00125431" w:rsidRDefault="00D31CF0" w:rsidP="00707AED">
            <w:pPr>
              <w:spacing w:after="120"/>
              <w:ind w:left="357"/>
              <w:jc w:val="both"/>
              <w:rPr>
                <w:rFonts w:ascii="Verdana" w:hAnsi="Verdana" w:cs="Arial"/>
                <w:b/>
                <w:sz w:val="22"/>
                <w:szCs w:val="22"/>
                <w:lang w:val="en-GB"/>
              </w:rPr>
            </w:pPr>
            <w:r w:rsidRPr="00125431">
              <w:rPr>
                <w:rFonts w:ascii="Verdana" w:hAnsi="Verdana" w:cs="Arial"/>
                <w:b/>
                <w:sz w:val="22"/>
                <w:szCs w:val="22"/>
                <w:lang w:val="en-GB"/>
              </w:rPr>
              <w:t>[Insert agreed local quality requirements here]</w:t>
            </w:r>
          </w:p>
          <w:p w14:paraId="25377B3E" w14:textId="25D39277" w:rsidR="00075A83" w:rsidRPr="00125431" w:rsidRDefault="00D31CF0" w:rsidP="00707AED">
            <w:pPr>
              <w:spacing w:after="120"/>
              <w:jc w:val="both"/>
              <w:rPr>
                <w:rFonts w:ascii="Verdana" w:hAnsi="Verdana" w:cs="Arial"/>
                <w:b/>
                <w:color w:val="009966"/>
                <w:sz w:val="22"/>
                <w:szCs w:val="22"/>
                <w:lang w:val="en-GB"/>
              </w:rPr>
            </w:pPr>
            <w:r w:rsidRPr="00125431">
              <w:rPr>
                <w:rFonts w:ascii="Verdana" w:hAnsi="Verdana" w:cs="Arial"/>
                <w:b/>
                <w:color w:val="009966"/>
                <w:sz w:val="22"/>
                <w:szCs w:val="22"/>
                <w:lang w:val="en-GB"/>
              </w:rPr>
              <w:t>5.2 Applicable CQUIN goals</w:t>
            </w:r>
          </w:p>
          <w:p w14:paraId="2D8937B8" w14:textId="75093E1E" w:rsidR="0047734B" w:rsidRPr="00125431" w:rsidRDefault="00D31CF0" w:rsidP="00707AED">
            <w:pPr>
              <w:spacing w:after="120"/>
              <w:ind w:left="357"/>
              <w:jc w:val="both"/>
              <w:rPr>
                <w:rFonts w:ascii="Verdana" w:hAnsi="Verdana" w:cs="Arial"/>
                <w:sz w:val="22"/>
                <w:szCs w:val="22"/>
                <w:lang w:val="en-GB"/>
              </w:rPr>
            </w:pPr>
            <w:r w:rsidRPr="00125431">
              <w:rPr>
                <w:rFonts w:ascii="Verdana" w:hAnsi="Verdana" w:cs="Arial"/>
                <w:b/>
                <w:sz w:val="22"/>
                <w:szCs w:val="22"/>
                <w:lang w:val="en-GB"/>
              </w:rPr>
              <w:t xml:space="preserve"> [Insert agreed local CQUIN goals here]</w:t>
            </w:r>
          </w:p>
        </w:tc>
      </w:tr>
      <w:tr w:rsidR="00075A83" w:rsidRPr="00125431" w14:paraId="56B70315" w14:textId="77777777" w:rsidTr="344A66DE">
        <w:trPr>
          <w:trHeight w:val="268"/>
        </w:trPr>
        <w:tc>
          <w:tcPr>
            <w:tcW w:w="8908" w:type="dxa"/>
            <w:shd w:val="clear" w:color="auto" w:fill="595959" w:themeFill="text1" w:themeFillTint="A6"/>
          </w:tcPr>
          <w:p w14:paraId="0E470C7E" w14:textId="77777777" w:rsidR="00075A83" w:rsidRPr="00125431" w:rsidRDefault="00075A83" w:rsidP="00707AED">
            <w:pPr>
              <w:pStyle w:val="Mainheading"/>
              <w:jc w:val="both"/>
              <w:rPr>
                <w:rFonts w:ascii="Verdana" w:hAnsi="Verdana"/>
                <w:sz w:val="22"/>
                <w:szCs w:val="22"/>
              </w:rPr>
            </w:pPr>
            <w:r w:rsidRPr="00125431">
              <w:rPr>
                <w:rFonts w:ascii="Verdana" w:hAnsi="Verdana"/>
                <w:sz w:val="22"/>
                <w:szCs w:val="22"/>
              </w:rPr>
              <w:t>6.</w:t>
            </w:r>
            <w:r w:rsidRPr="00125431">
              <w:rPr>
                <w:rFonts w:ascii="Verdana" w:hAnsi="Verdana"/>
                <w:sz w:val="22"/>
                <w:szCs w:val="22"/>
              </w:rPr>
              <w:tab/>
              <w:t>Location of Provider Premises</w:t>
            </w:r>
          </w:p>
        </w:tc>
      </w:tr>
      <w:tr w:rsidR="00075A83" w:rsidRPr="00125431" w14:paraId="5CEC821B" w14:textId="77777777" w:rsidTr="344A66DE">
        <w:trPr>
          <w:trHeight w:val="905"/>
        </w:trPr>
        <w:tc>
          <w:tcPr>
            <w:tcW w:w="8908" w:type="dxa"/>
            <w:shd w:val="clear" w:color="auto" w:fill="auto"/>
          </w:tcPr>
          <w:p w14:paraId="45FE1724" w14:textId="77777777" w:rsidR="00075A83" w:rsidRPr="00125431" w:rsidRDefault="006B6BAE" w:rsidP="007759C1">
            <w:pPr>
              <w:spacing w:before="120" w:after="120"/>
              <w:ind w:left="357"/>
              <w:rPr>
                <w:rFonts w:ascii="Verdana" w:eastAsia="MS ??" w:hAnsi="Verdana" w:cs="Arial"/>
                <w:color w:val="000000"/>
                <w:sz w:val="22"/>
                <w:szCs w:val="22"/>
                <w:lang w:val="en-GB" w:eastAsia="en-GB"/>
              </w:rPr>
            </w:pPr>
            <w:r w:rsidRPr="00125431">
              <w:rPr>
                <w:rFonts w:ascii="Verdana" w:eastAsia="MS ??" w:hAnsi="Verdana" w:cs="Arial"/>
                <w:color w:val="000000"/>
                <w:sz w:val="22"/>
                <w:szCs w:val="22"/>
                <w:lang w:val="en-GB" w:eastAsia="en-GB"/>
              </w:rPr>
              <w:t>The p</w:t>
            </w:r>
            <w:r w:rsidR="00075A83" w:rsidRPr="00125431">
              <w:rPr>
                <w:rFonts w:ascii="Verdana" w:eastAsia="MS ??" w:hAnsi="Verdana" w:cs="Arial"/>
                <w:color w:val="000000"/>
                <w:sz w:val="22"/>
                <w:szCs w:val="22"/>
                <w:lang w:val="en-GB" w:eastAsia="en-GB"/>
              </w:rPr>
              <w:t>rovider’</w:t>
            </w:r>
            <w:r w:rsidRPr="00125431">
              <w:rPr>
                <w:rFonts w:ascii="Verdana" w:eastAsia="MS ??" w:hAnsi="Verdana" w:cs="Arial"/>
                <w:color w:val="000000"/>
                <w:sz w:val="22"/>
                <w:szCs w:val="22"/>
                <w:lang w:val="en-GB" w:eastAsia="en-GB"/>
              </w:rPr>
              <w:t>s p</w:t>
            </w:r>
            <w:r w:rsidR="00075A83" w:rsidRPr="00125431">
              <w:rPr>
                <w:rFonts w:ascii="Verdana" w:eastAsia="MS ??" w:hAnsi="Verdana" w:cs="Arial"/>
                <w:color w:val="000000"/>
                <w:sz w:val="22"/>
                <w:szCs w:val="22"/>
                <w:lang w:val="en-GB" w:eastAsia="en-GB"/>
              </w:rPr>
              <w:t>remises are located at:</w:t>
            </w:r>
          </w:p>
          <w:p w14:paraId="3FCAAA1A" w14:textId="77777777" w:rsidR="00075A83" w:rsidRPr="00125431" w:rsidRDefault="006B6BAE" w:rsidP="007759C1">
            <w:pPr>
              <w:spacing w:after="120"/>
              <w:ind w:left="357"/>
              <w:rPr>
                <w:rFonts w:ascii="Verdana" w:hAnsi="Verdana" w:cs="Arial"/>
                <w:b/>
                <w:sz w:val="22"/>
                <w:szCs w:val="22"/>
                <w:lang w:val="en-GB"/>
              </w:rPr>
            </w:pPr>
            <w:r w:rsidRPr="00125431">
              <w:rPr>
                <w:rFonts w:ascii="Verdana" w:hAnsi="Verdana" w:cs="Arial"/>
                <w:b/>
                <w:sz w:val="22"/>
                <w:szCs w:val="22"/>
                <w:lang w:val="en-GB"/>
              </w:rPr>
              <w:t>[Add local information here]</w:t>
            </w:r>
          </w:p>
        </w:tc>
      </w:tr>
    </w:tbl>
    <w:p w14:paraId="39613132" w14:textId="77777777" w:rsidR="00F242E4" w:rsidRDefault="00F242E4" w:rsidP="00D42CDF">
      <w:pPr>
        <w:pStyle w:val="Heading2"/>
        <w:jc w:val="both"/>
        <w:rPr>
          <w:rFonts w:ascii="Arial" w:hAnsi="Arial"/>
          <w:i/>
          <w:sz w:val="18"/>
          <w:szCs w:val="18"/>
        </w:rPr>
      </w:pPr>
    </w:p>
    <w:p w14:paraId="29DCA2CC" w14:textId="710073A3" w:rsidR="00D42CDF" w:rsidRDefault="00D42CDF" w:rsidP="00D42CDF">
      <w:pPr>
        <w:pStyle w:val="Heading2"/>
        <w:jc w:val="both"/>
        <w:rPr>
          <w:lang w:val="en-GB" w:eastAsia="en-US"/>
        </w:rPr>
      </w:pPr>
      <w:r w:rsidRPr="00D42CDF">
        <w:rPr>
          <w:rFonts w:ascii="Arial" w:hAnsi="Arial"/>
          <w:i/>
          <w:sz w:val="18"/>
          <w:szCs w:val="18"/>
        </w:rPr>
        <w:t>Additional detail and references are available for all figures supplied by the Royal Osteoporosis Society.  Note that for any information supplied by the Royal Osteoporosis Society there is no guarantee as to the accuracy of the or reliability of any information contained in this report and use of the information contained is at the user’s risk and no liability whatsoever is accepted by the Royal Osteoporosis Society.</w:t>
      </w:r>
    </w:p>
    <w:sectPr w:rsidR="00D42CDF" w:rsidSect="00DD2E64">
      <w:headerReference w:type="default" r:id="rId19"/>
      <w:footerReference w:type="default" r:id="rId20"/>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FED9B" w14:textId="77777777" w:rsidR="001E69B3" w:rsidRDefault="001E69B3" w:rsidP="00443B52">
      <w:pPr>
        <w:spacing w:after="0"/>
      </w:pPr>
      <w:r>
        <w:separator/>
      </w:r>
    </w:p>
  </w:endnote>
  <w:endnote w:type="continuationSeparator" w:id="0">
    <w:p w14:paraId="5DC97098" w14:textId="77777777" w:rsidR="001E69B3" w:rsidRDefault="001E69B3" w:rsidP="00443B52">
      <w:pPr>
        <w:spacing w:after="0"/>
      </w:pPr>
      <w:r>
        <w:continuationSeparator/>
      </w:r>
    </w:p>
  </w:endnote>
  <w:endnote w:type="continuationNotice" w:id="1">
    <w:p w14:paraId="2D5A8BA1" w14:textId="77777777" w:rsidR="001E69B3" w:rsidRDefault="001E69B3">
      <w:pPr>
        <w:spacing w:after="0"/>
      </w:pPr>
    </w:p>
  </w:endnote>
  <w:endnote w:id="2">
    <w:p w14:paraId="72330424" w14:textId="5CEC2809" w:rsidR="00994EC4" w:rsidRPr="00994EC4" w:rsidRDefault="00994EC4" w:rsidP="00076814">
      <w:pPr>
        <w:pStyle w:val="EndnoteText"/>
        <w:rPr>
          <w:rFonts w:ascii="Verdana" w:hAnsi="Verdana" w:cs="Arial"/>
          <w:b/>
          <w:color w:val="009966"/>
          <w:sz w:val="24"/>
          <w:szCs w:val="24"/>
          <w:lang w:val="en-GB"/>
        </w:rPr>
      </w:pPr>
      <w:r w:rsidRPr="00994EC4">
        <w:rPr>
          <w:rFonts w:ascii="Verdana" w:hAnsi="Verdana" w:cs="Arial"/>
          <w:b/>
          <w:color w:val="009966"/>
          <w:sz w:val="24"/>
          <w:szCs w:val="24"/>
          <w:lang w:val="en-GB"/>
        </w:rPr>
        <w:t xml:space="preserve">References: </w:t>
      </w:r>
    </w:p>
    <w:p w14:paraId="36974C65" w14:textId="0EB85F80" w:rsidR="002F75E4" w:rsidRPr="00994EC4" w:rsidRDefault="002F75E4" w:rsidP="00076814">
      <w:pPr>
        <w:pStyle w:val="EndnoteText"/>
      </w:pPr>
      <w:r>
        <w:rPr>
          <w:rStyle w:val="EndnoteReference"/>
        </w:rPr>
        <w:endnoteRef/>
      </w:r>
      <w:r>
        <w:t xml:space="preserve">  </w:t>
      </w:r>
      <w:r w:rsidR="00985C57" w:rsidRPr="00D647E8">
        <w:rPr>
          <w:rFonts w:ascii="Verdana" w:hAnsi="Verdana"/>
          <w:sz w:val="18"/>
          <w:szCs w:val="18"/>
        </w:rPr>
        <w:t>Kanis JA, Oden A, Johnell O et al. (2001</w:t>
      </w:r>
      <w:r w:rsidR="00985C57" w:rsidRPr="0068166F">
        <w:rPr>
          <w:rFonts w:ascii="Verdana" w:hAnsi="Verdana"/>
          <w:i/>
          <w:iCs/>
          <w:sz w:val="18"/>
          <w:szCs w:val="18"/>
        </w:rPr>
        <w:t>) ‘The burden of osteoporotic fractures: a method for setting intervention thresholds’</w:t>
      </w:r>
      <w:r w:rsidR="00985C57" w:rsidRPr="00D647E8">
        <w:rPr>
          <w:rFonts w:ascii="Verdana" w:hAnsi="Verdana"/>
          <w:sz w:val="18"/>
          <w:szCs w:val="18"/>
        </w:rPr>
        <w:t>. Osteoporosis International 12: 417–27.</w:t>
      </w:r>
    </w:p>
  </w:endnote>
  <w:endnote w:id="3">
    <w:p w14:paraId="655A8A98" w14:textId="18222CE2" w:rsidR="002F75E4" w:rsidRPr="001326A9" w:rsidRDefault="002F75E4" w:rsidP="00076814">
      <w:pPr>
        <w:pStyle w:val="EndnoteText"/>
        <w:rPr>
          <w:rFonts w:ascii="Verdana" w:hAnsi="Verdana"/>
          <w:sz w:val="18"/>
          <w:szCs w:val="18"/>
        </w:rPr>
      </w:pPr>
      <w:r w:rsidRPr="001326A9">
        <w:rPr>
          <w:rStyle w:val="EndnoteReference"/>
          <w:rFonts w:ascii="Verdana" w:hAnsi="Verdana"/>
          <w:sz w:val="18"/>
          <w:szCs w:val="18"/>
        </w:rPr>
        <w:endnoteRef/>
      </w:r>
      <w:r w:rsidRPr="001326A9">
        <w:rPr>
          <w:rFonts w:ascii="Verdana" w:hAnsi="Verdana"/>
          <w:sz w:val="18"/>
          <w:szCs w:val="18"/>
        </w:rPr>
        <w:t xml:space="preserve"> </w:t>
      </w:r>
      <w:r w:rsidRPr="001326A9">
        <w:rPr>
          <w:rFonts w:ascii="Verdana" w:hAnsi="Verdana" w:cs="Arial"/>
          <w:sz w:val="18"/>
          <w:szCs w:val="18"/>
        </w:rPr>
        <w:t xml:space="preserve">National Institute for Health and Care Excellence (2012). </w:t>
      </w:r>
      <w:r w:rsidRPr="001326A9">
        <w:rPr>
          <w:rFonts w:ascii="Verdana" w:hAnsi="Verdana" w:cs="Arial"/>
          <w:i/>
          <w:sz w:val="18"/>
          <w:szCs w:val="18"/>
        </w:rPr>
        <w:t>NICE Clinical Guideline 146. Osteoporosis: Assessing the Risk of Fragility Fracture.</w:t>
      </w:r>
      <w:r w:rsidRPr="001326A9">
        <w:rPr>
          <w:rFonts w:ascii="Verdana" w:hAnsi="Verdana" w:cs="Arial"/>
          <w:sz w:val="18"/>
          <w:szCs w:val="18"/>
        </w:rPr>
        <w:t xml:space="preserve"> </w:t>
      </w:r>
      <w:hyperlink r:id="rId1" w:history="1">
        <w:r w:rsidRPr="001326A9">
          <w:rPr>
            <w:rStyle w:val="Hyperlink"/>
            <w:rFonts w:ascii="Verdana" w:hAnsi="Verdana" w:cs="Arial"/>
            <w:sz w:val="18"/>
            <w:szCs w:val="18"/>
          </w:rPr>
          <w:t>https://www.nice.org.uk/guidance/cg146?unlid</w:t>
        </w:r>
      </w:hyperlink>
      <w:r w:rsidRPr="001326A9">
        <w:rPr>
          <w:rFonts w:ascii="Verdana" w:hAnsi="Verdana" w:cs="Arial"/>
          <w:sz w:val="18"/>
          <w:szCs w:val="18"/>
        </w:rPr>
        <w:t xml:space="preserve"> (accessed </w:t>
      </w:r>
      <w:r w:rsidR="002A5BB7">
        <w:rPr>
          <w:rFonts w:ascii="Verdana" w:hAnsi="Verdana" w:cs="Arial"/>
          <w:sz w:val="18"/>
          <w:szCs w:val="18"/>
        </w:rPr>
        <w:t>July 2020</w:t>
      </w:r>
      <w:r w:rsidRPr="001326A9">
        <w:rPr>
          <w:rFonts w:ascii="Verdana" w:hAnsi="Verdana" w:cs="Arial"/>
          <w:sz w:val="18"/>
          <w:szCs w:val="18"/>
        </w:rPr>
        <w:t>).</w:t>
      </w:r>
    </w:p>
  </w:endnote>
  <w:endnote w:id="4">
    <w:p w14:paraId="5D83C322" w14:textId="5D111B23" w:rsidR="002F75E4" w:rsidRPr="001326A9" w:rsidRDefault="002F75E4" w:rsidP="00076814">
      <w:pPr>
        <w:pStyle w:val="EndnoteText"/>
        <w:spacing w:before="60" w:after="60"/>
        <w:rPr>
          <w:rFonts w:ascii="Verdana" w:hAnsi="Verdana"/>
          <w:sz w:val="18"/>
          <w:szCs w:val="18"/>
        </w:rPr>
      </w:pPr>
      <w:r w:rsidRPr="001326A9">
        <w:rPr>
          <w:rStyle w:val="EndnoteReference"/>
          <w:rFonts w:ascii="Verdana" w:hAnsi="Verdana"/>
          <w:sz w:val="18"/>
          <w:szCs w:val="18"/>
        </w:rPr>
        <w:endnoteRef/>
      </w:r>
      <w:r w:rsidRPr="001326A9">
        <w:rPr>
          <w:rFonts w:ascii="Verdana" w:hAnsi="Verdana"/>
          <w:sz w:val="18"/>
          <w:szCs w:val="18"/>
        </w:rPr>
        <w:t xml:space="preserve"> </w:t>
      </w:r>
      <w:r w:rsidR="002A5BB7" w:rsidRPr="001326A9">
        <w:rPr>
          <w:rFonts w:ascii="Verdana" w:hAnsi="Verdana" w:cs="Arial"/>
          <w:sz w:val="18"/>
          <w:szCs w:val="18"/>
        </w:rPr>
        <w:t xml:space="preserve">National Institute for Health and Care Excellence (2012). </w:t>
      </w:r>
      <w:r w:rsidR="002A5BB7" w:rsidRPr="001326A9">
        <w:rPr>
          <w:rFonts w:ascii="Verdana" w:hAnsi="Verdana" w:cs="Arial"/>
          <w:i/>
          <w:sz w:val="18"/>
          <w:szCs w:val="18"/>
        </w:rPr>
        <w:t>NICE Clinical Guideline 146. Osteoporosis: Assessing the Risk of Fragility Fracture.</w:t>
      </w:r>
      <w:r w:rsidR="002A5BB7" w:rsidRPr="001326A9">
        <w:rPr>
          <w:rFonts w:ascii="Verdana" w:hAnsi="Verdana" w:cs="Arial"/>
          <w:sz w:val="18"/>
          <w:szCs w:val="18"/>
        </w:rPr>
        <w:t xml:space="preserve"> </w:t>
      </w:r>
      <w:hyperlink r:id="rId2" w:history="1">
        <w:r w:rsidR="002A5BB7" w:rsidRPr="001326A9">
          <w:rPr>
            <w:rStyle w:val="Hyperlink"/>
            <w:rFonts w:ascii="Verdana" w:hAnsi="Verdana" w:cs="Arial"/>
            <w:sz w:val="18"/>
            <w:szCs w:val="18"/>
          </w:rPr>
          <w:t>https://www.nice.org.uk/guidance/cg146?unlid</w:t>
        </w:r>
      </w:hyperlink>
      <w:r w:rsidR="002A5BB7" w:rsidRPr="001326A9">
        <w:rPr>
          <w:rFonts w:ascii="Verdana" w:hAnsi="Verdana" w:cs="Arial"/>
          <w:sz w:val="18"/>
          <w:szCs w:val="18"/>
        </w:rPr>
        <w:t xml:space="preserve"> (accessed </w:t>
      </w:r>
      <w:r w:rsidR="002A5BB7">
        <w:rPr>
          <w:rFonts w:ascii="Verdana" w:hAnsi="Verdana" w:cs="Arial"/>
          <w:sz w:val="18"/>
          <w:szCs w:val="18"/>
        </w:rPr>
        <w:t>July 2020</w:t>
      </w:r>
      <w:r w:rsidR="002A5BB7" w:rsidRPr="001326A9">
        <w:rPr>
          <w:rFonts w:ascii="Verdana" w:hAnsi="Verdana" w:cs="Arial"/>
          <w:sz w:val="18"/>
          <w:szCs w:val="18"/>
        </w:rPr>
        <w:t>).</w:t>
      </w:r>
    </w:p>
  </w:endnote>
  <w:endnote w:id="5">
    <w:p w14:paraId="03D6153D" w14:textId="25AE6446" w:rsidR="00387ABB" w:rsidRDefault="00387ABB">
      <w:pPr>
        <w:pStyle w:val="EndnoteText"/>
      </w:pPr>
      <w:r>
        <w:rPr>
          <w:rStyle w:val="EndnoteReference"/>
        </w:rPr>
        <w:endnoteRef/>
      </w:r>
      <w:r>
        <w:t xml:space="preserve"> </w:t>
      </w:r>
      <w:r w:rsidR="007C7F9B" w:rsidRPr="00791424">
        <w:rPr>
          <w:rFonts w:ascii="Verdana" w:hAnsi="Verdana" w:cs="Helvetica"/>
          <w:sz w:val="18"/>
          <w:szCs w:val="18"/>
          <w:shd w:val="clear" w:color="auto" w:fill="FFFFFF"/>
        </w:rPr>
        <w:t xml:space="preserve">van Staa TP, Dennison EM, Leufkens HG, </w:t>
      </w:r>
      <w:r w:rsidR="007C7F9B">
        <w:rPr>
          <w:rFonts w:ascii="Verdana" w:hAnsi="Verdana" w:cs="Helvetica"/>
          <w:sz w:val="18"/>
          <w:szCs w:val="18"/>
          <w:shd w:val="clear" w:color="auto" w:fill="FFFFFF"/>
        </w:rPr>
        <w:t xml:space="preserve">and </w:t>
      </w:r>
      <w:r w:rsidR="007C7F9B" w:rsidRPr="00791424">
        <w:rPr>
          <w:rFonts w:ascii="Verdana" w:hAnsi="Verdana" w:cs="Helvetica"/>
          <w:sz w:val="18"/>
          <w:szCs w:val="18"/>
          <w:shd w:val="clear" w:color="auto" w:fill="FFFFFF"/>
        </w:rPr>
        <w:t>Cooper C</w:t>
      </w:r>
      <w:r w:rsidR="007C7F9B">
        <w:rPr>
          <w:rFonts w:ascii="Verdana" w:hAnsi="Verdana" w:cs="Helvetica"/>
          <w:sz w:val="18"/>
          <w:szCs w:val="18"/>
          <w:shd w:val="clear" w:color="auto" w:fill="FFFFFF"/>
        </w:rPr>
        <w:t xml:space="preserve"> (2001) </w:t>
      </w:r>
      <w:r w:rsidR="007C7F9B" w:rsidRPr="0068166F">
        <w:rPr>
          <w:rFonts w:ascii="Verdana" w:hAnsi="Verdana"/>
          <w:i/>
          <w:iCs/>
          <w:noProof/>
          <w:sz w:val="18"/>
          <w:szCs w:val="18"/>
        </w:rPr>
        <w:t>‘Epidemiology of fractures in England and Wales’</w:t>
      </w:r>
      <w:r w:rsidR="007C7F9B" w:rsidRPr="00DB0F14">
        <w:rPr>
          <w:rFonts w:ascii="Verdana" w:hAnsi="Verdana"/>
          <w:noProof/>
          <w:sz w:val="18"/>
          <w:szCs w:val="18"/>
        </w:rPr>
        <w:t xml:space="preserve">. </w:t>
      </w:r>
      <w:r w:rsidR="007C7F9B" w:rsidRPr="00DB0F14">
        <w:rPr>
          <w:rFonts w:ascii="Verdana" w:hAnsi="Verdana"/>
          <w:iCs/>
          <w:noProof/>
          <w:sz w:val="18"/>
          <w:szCs w:val="18"/>
        </w:rPr>
        <w:t xml:space="preserve">Bone, </w:t>
      </w:r>
      <w:r w:rsidR="007C7F9B" w:rsidRPr="00DB0F14">
        <w:rPr>
          <w:rFonts w:ascii="Verdana" w:hAnsi="Verdana"/>
          <w:noProof/>
          <w:sz w:val="18"/>
          <w:szCs w:val="18"/>
        </w:rPr>
        <w:t>29(6), pp517-522.</w:t>
      </w:r>
    </w:p>
  </w:endnote>
  <w:endnote w:id="6">
    <w:p w14:paraId="6AE8F810" w14:textId="77777777" w:rsidR="00572D4C" w:rsidRDefault="00572D4C" w:rsidP="00572D4C">
      <w:pPr>
        <w:pStyle w:val="EndnoteText"/>
      </w:pPr>
      <w:r>
        <w:rPr>
          <w:rStyle w:val="EndnoteReference"/>
        </w:rPr>
        <w:endnoteRef/>
      </w:r>
      <w:r>
        <w:t xml:space="preserve"> </w:t>
      </w:r>
      <w:r>
        <w:rPr>
          <w:rFonts w:ascii="Verdana" w:hAnsi="Verdana"/>
          <w:sz w:val="18"/>
          <w:szCs w:val="18"/>
        </w:rPr>
        <w:t>International Osteoporosis Foundation (2018</w:t>
      </w:r>
      <w:r w:rsidRPr="00707A43">
        <w:rPr>
          <w:rFonts w:ascii="Verdana" w:hAnsi="Verdana"/>
          <w:i/>
          <w:iCs/>
          <w:sz w:val="18"/>
          <w:szCs w:val="18"/>
        </w:rPr>
        <w:t>) ‘Broken Bones, Broken Lives: A roadmap to solve the fragility fracture crisis in Europe’</w:t>
      </w:r>
      <w:r>
        <w:rPr>
          <w:rFonts w:ascii="Verdana" w:hAnsi="Verdana"/>
          <w:sz w:val="18"/>
          <w:szCs w:val="18"/>
        </w:rPr>
        <w:t>.  Available at:</w:t>
      </w:r>
      <w:r w:rsidRPr="001326A9">
        <w:rPr>
          <w:rFonts w:ascii="Verdana" w:hAnsi="Verdana"/>
          <w:sz w:val="18"/>
          <w:szCs w:val="18"/>
        </w:rPr>
        <w:t xml:space="preserve"> </w:t>
      </w:r>
      <w:hyperlink r:id="rId3" w:history="1">
        <w:r w:rsidRPr="001326A9">
          <w:rPr>
            <w:rStyle w:val="Hyperlink"/>
            <w:rFonts w:ascii="Verdana" w:hAnsi="Verdana"/>
            <w:sz w:val="18"/>
            <w:szCs w:val="18"/>
          </w:rPr>
          <w:t>http://share.iofbonehealth.org/EU-6-Material/Reports/IOF%20Report_EU.pdf</w:t>
        </w:r>
      </w:hyperlink>
      <w:r w:rsidRPr="001326A9">
        <w:rPr>
          <w:rFonts w:ascii="Verdana" w:hAnsi="Verdana"/>
          <w:sz w:val="18"/>
          <w:szCs w:val="18"/>
        </w:rPr>
        <w:t xml:space="preserve"> (a</w:t>
      </w:r>
      <w:r>
        <w:rPr>
          <w:rFonts w:ascii="Verdana" w:hAnsi="Verdana"/>
          <w:sz w:val="18"/>
          <w:szCs w:val="18"/>
        </w:rPr>
        <w:t>ccessed</w:t>
      </w:r>
      <w:r w:rsidRPr="001326A9">
        <w:rPr>
          <w:rFonts w:ascii="Verdana" w:hAnsi="Verdana"/>
          <w:sz w:val="18"/>
          <w:szCs w:val="18"/>
        </w:rPr>
        <w:t xml:space="preserve"> </w:t>
      </w:r>
      <w:r>
        <w:rPr>
          <w:rFonts w:ascii="Verdana" w:hAnsi="Verdana"/>
          <w:sz w:val="18"/>
          <w:szCs w:val="18"/>
        </w:rPr>
        <w:t>July 2020</w:t>
      </w:r>
      <w:r w:rsidRPr="001326A9">
        <w:rPr>
          <w:rFonts w:ascii="Verdana" w:hAnsi="Verdana"/>
          <w:sz w:val="18"/>
          <w:szCs w:val="18"/>
        </w:rPr>
        <w:t>)</w:t>
      </w:r>
    </w:p>
  </w:endnote>
  <w:endnote w:id="7">
    <w:p w14:paraId="06816870" w14:textId="77777777" w:rsidR="00572D4C" w:rsidRPr="00E56E82" w:rsidRDefault="00572D4C" w:rsidP="00572D4C">
      <w:pPr>
        <w:rPr>
          <w:rFonts w:ascii="Verdana" w:hAnsi="Verdana"/>
          <w:sz w:val="18"/>
          <w:szCs w:val="18"/>
        </w:rPr>
      </w:pPr>
      <w:r>
        <w:rPr>
          <w:rStyle w:val="EndnoteReference"/>
        </w:rPr>
        <w:endnoteRef/>
      </w:r>
      <w:r>
        <w:t xml:space="preserve"> </w:t>
      </w:r>
      <w:r w:rsidRPr="002D581D">
        <w:rPr>
          <w:rFonts w:ascii="Verdana" w:hAnsi="Verdana" w:cs="Arial"/>
          <w:sz w:val="18"/>
          <w:szCs w:val="18"/>
        </w:rPr>
        <w:t xml:space="preserve">McLellan AR, Reid DM, Forbes K et al., (2004) NHS Quality Improvement Scotland. </w:t>
      </w:r>
      <w:r w:rsidRPr="00561936">
        <w:rPr>
          <w:rFonts w:ascii="Verdana" w:hAnsi="Verdana" w:cs="Arial"/>
          <w:i/>
          <w:iCs/>
          <w:sz w:val="18"/>
          <w:szCs w:val="18"/>
        </w:rPr>
        <w:t>‘Effectiveness of Strategies for the Secondary Prevention of Osteoporotic Fractures in Scotland’</w:t>
      </w:r>
      <w:r w:rsidRPr="002D581D">
        <w:rPr>
          <w:rFonts w:ascii="Verdana" w:hAnsi="Verdana" w:cs="Arial"/>
          <w:sz w:val="18"/>
          <w:szCs w:val="18"/>
        </w:rPr>
        <w:t xml:space="preserve">. </w:t>
      </w:r>
      <w:r>
        <w:rPr>
          <w:rFonts w:ascii="Verdana" w:hAnsi="Verdana" w:cs="Arial"/>
          <w:sz w:val="18"/>
          <w:szCs w:val="18"/>
        </w:rPr>
        <w:t xml:space="preserve">Available at: </w:t>
      </w:r>
      <w:hyperlink r:id="rId4" w:history="1">
        <w:r w:rsidRPr="0089603E">
          <w:rPr>
            <w:rStyle w:val="Hyperlink"/>
            <w:rFonts w:ascii="Verdana" w:hAnsi="Verdana"/>
            <w:sz w:val="18"/>
            <w:szCs w:val="18"/>
          </w:rPr>
          <w:t>http://www.healthcareimprovementscotland.org/previous_resources/audit_report/osteoporotic_fractures_audit.aspx</w:t>
        </w:r>
      </w:hyperlink>
      <w:r w:rsidRPr="002D581D">
        <w:rPr>
          <w:rFonts w:ascii="Verdana" w:hAnsi="Verdana" w:cs="Arial"/>
          <w:sz w:val="18"/>
          <w:szCs w:val="18"/>
        </w:rPr>
        <w:t xml:space="preserve"> </w:t>
      </w:r>
      <w:r>
        <w:rPr>
          <w:rFonts w:ascii="Verdana" w:hAnsi="Verdana" w:cs="Arial"/>
          <w:sz w:val="18"/>
          <w:szCs w:val="18"/>
        </w:rPr>
        <w:t xml:space="preserve"> (accessed February 2020)</w:t>
      </w:r>
    </w:p>
  </w:endnote>
  <w:endnote w:id="8">
    <w:p w14:paraId="2D905672" w14:textId="77777777" w:rsidR="00572D4C" w:rsidRDefault="00572D4C" w:rsidP="00572D4C">
      <w:r>
        <w:rPr>
          <w:rStyle w:val="EndnoteReference"/>
        </w:rPr>
        <w:endnoteRef/>
      </w:r>
      <w:r>
        <w:t xml:space="preserve"> </w:t>
      </w:r>
      <w:r w:rsidRPr="002D581D">
        <w:rPr>
          <w:rFonts w:ascii="Verdana" w:hAnsi="Verdana"/>
          <w:sz w:val="18"/>
          <w:szCs w:val="18"/>
        </w:rPr>
        <w:t xml:space="preserve">Lyles KW et al., (2006) </w:t>
      </w:r>
      <w:r w:rsidRPr="0077722C">
        <w:rPr>
          <w:rFonts w:ascii="Verdana" w:hAnsi="Verdana"/>
          <w:i/>
          <w:iCs/>
          <w:sz w:val="18"/>
          <w:szCs w:val="18"/>
        </w:rPr>
        <w:t>The Horizon Recurrent Clinical Fracture after Recent Hip Fracture Trial (RFT) Study Cohort Description</w:t>
      </w:r>
      <w:r w:rsidRPr="002D581D">
        <w:rPr>
          <w:rFonts w:ascii="Verdana" w:hAnsi="Verdana"/>
          <w:sz w:val="18"/>
          <w:szCs w:val="18"/>
        </w:rPr>
        <w:t xml:space="preserve">. ASBMR  </w:t>
      </w:r>
      <w:r>
        <w:rPr>
          <w:rFonts w:ascii="Verdana" w:hAnsi="Verdana"/>
          <w:sz w:val="18"/>
          <w:szCs w:val="18"/>
        </w:rPr>
        <w:t xml:space="preserve">Available at: </w:t>
      </w:r>
      <w:hyperlink r:id="rId5" w:history="1">
        <w:r w:rsidRPr="0089603E">
          <w:rPr>
            <w:rStyle w:val="Hyperlink"/>
            <w:rFonts w:ascii="Verdana" w:hAnsi="Verdana"/>
            <w:sz w:val="18"/>
            <w:szCs w:val="18"/>
          </w:rPr>
          <w:t>https://acr.confex.com/acr/2006/webprogram/Paper5282.html</w:t>
        </w:r>
      </w:hyperlink>
      <w:r>
        <w:rPr>
          <w:rFonts w:ascii="Verdana" w:hAnsi="Verdana"/>
          <w:sz w:val="18"/>
          <w:szCs w:val="18"/>
        </w:rPr>
        <w:t xml:space="preserve"> </w:t>
      </w:r>
      <w:r>
        <w:rPr>
          <w:rFonts w:ascii="Verdana" w:hAnsi="Verdana" w:cs="Arial"/>
          <w:sz w:val="18"/>
          <w:szCs w:val="18"/>
        </w:rPr>
        <w:t>(accessed February 2020)</w:t>
      </w:r>
    </w:p>
  </w:endnote>
  <w:endnote w:id="9">
    <w:p w14:paraId="15513161" w14:textId="77777777" w:rsidR="00572D4C" w:rsidRDefault="00572D4C" w:rsidP="00572D4C">
      <w:r>
        <w:rPr>
          <w:rStyle w:val="EndnoteReference"/>
        </w:rPr>
        <w:endnoteRef/>
      </w:r>
      <w:r>
        <w:t xml:space="preserve"> </w:t>
      </w:r>
      <w:r w:rsidRPr="002D581D">
        <w:rPr>
          <w:rFonts w:ascii="Verdana" w:hAnsi="Verdana"/>
          <w:sz w:val="18"/>
          <w:szCs w:val="18"/>
        </w:rPr>
        <w:t xml:space="preserve">Edwards, B. J. et al., (2007) </w:t>
      </w:r>
      <w:r w:rsidRPr="0077722C">
        <w:rPr>
          <w:rFonts w:ascii="Verdana" w:hAnsi="Verdana"/>
          <w:i/>
          <w:iCs/>
          <w:sz w:val="18"/>
          <w:szCs w:val="18"/>
        </w:rPr>
        <w:t>‘Prior Fractures Are Common in Patients With Subsequent Hip Fractures’</w:t>
      </w:r>
      <w:r w:rsidRPr="002D581D">
        <w:rPr>
          <w:rFonts w:ascii="Verdana" w:hAnsi="Verdana"/>
          <w:sz w:val="18"/>
          <w:szCs w:val="18"/>
        </w:rPr>
        <w:t>. Clinical Orthopaedics &amp; Related Research, 461, 226-230</w:t>
      </w:r>
      <w:r>
        <w:rPr>
          <w:rFonts w:ascii="Verdana" w:hAnsi="Verdana"/>
          <w:sz w:val="18"/>
          <w:szCs w:val="18"/>
        </w:rPr>
        <w:t xml:space="preserve">.  Available at: </w:t>
      </w:r>
      <w:hyperlink r:id="rId6" w:history="1">
        <w:r w:rsidRPr="0089603E">
          <w:rPr>
            <w:rStyle w:val="Hyperlink"/>
            <w:rFonts w:ascii="Verdana" w:hAnsi="Verdana"/>
            <w:sz w:val="18"/>
            <w:szCs w:val="18"/>
          </w:rPr>
          <w:t>https://journals.lww.com/corr/Abstract/2007/08000/Prior_Fractures_are_Common_in_Patients_with.40.aspx</w:t>
        </w:r>
      </w:hyperlink>
      <w:r>
        <w:rPr>
          <w:rFonts w:ascii="Verdana" w:hAnsi="Verdana"/>
          <w:sz w:val="18"/>
          <w:szCs w:val="18"/>
        </w:rPr>
        <w:t xml:space="preserve"> </w:t>
      </w:r>
      <w:r>
        <w:rPr>
          <w:rFonts w:ascii="Verdana" w:hAnsi="Verdana" w:cs="Arial"/>
          <w:sz w:val="18"/>
          <w:szCs w:val="18"/>
        </w:rPr>
        <w:t>(accessed February 2020)</w:t>
      </w:r>
    </w:p>
  </w:endnote>
  <w:endnote w:id="10">
    <w:p w14:paraId="66E0012C" w14:textId="77777777" w:rsidR="00572D4C" w:rsidRPr="001326A9" w:rsidRDefault="00572D4C" w:rsidP="00572D4C">
      <w:pPr>
        <w:pStyle w:val="EndnoteText"/>
        <w:spacing w:before="60" w:after="60"/>
        <w:rPr>
          <w:rFonts w:ascii="Verdana" w:hAnsi="Verdana"/>
          <w:sz w:val="18"/>
          <w:szCs w:val="18"/>
        </w:rPr>
      </w:pPr>
      <w:r w:rsidRPr="001326A9">
        <w:rPr>
          <w:rStyle w:val="EndnoteReference"/>
          <w:rFonts w:ascii="Verdana" w:hAnsi="Verdana"/>
          <w:sz w:val="18"/>
          <w:szCs w:val="18"/>
        </w:rPr>
        <w:endnoteRef/>
      </w:r>
      <w:r w:rsidRPr="001326A9">
        <w:rPr>
          <w:rFonts w:ascii="Verdana" w:hAnsi="Verdana"/>
          <w:sz w:val="18"/>
          <w:szCs w:val="18"/>
        </w:rPr>
        <w:t xml:space="preserve"> </w:t>
      </w:r>
      <w:r w:rsidRPr="001326A9">
        <w:rPr>
          <w:rFonts w:ascii="Verdana" w:hAnsi="Verdana" w:cs="Arial"/>
          <w:sz w:val="18"/>
          <w:szCs w:val="18"/>
          <w:lang w:eastAsia="en-US"/>
        </w:rPr>
        <w:t>Mitchell PJ, (2011). Fracture Liaison Services. Osteoporosis Int 22 (Suppl 3): S487–S494.</w:t>
      </w:r>
    </w:p>
  </w:endnote>
  <w:endnote w:id="11">
    <w:p w14:paraId="598850B8" w14:textId="363024FB" w:rsidR="009728B3" w:rsidRPr="007F308F" w:rsidRDefault="009728B3" w:rsidP="007F308F">
      <w:pPr>
        <w:spacing w:beforeLines="60" w:before="144" w:afterLines="60" w:after="144"/>
        <w:rPr>
          <w:rFonts w:ascii="Verdana" w:hAnsi="Verdana"/>
          <w:sz w:val="18"/>
          <w:szCs w:val="18"/>
        </w:rPr>
      </w:pPr>
      <w:r>
        <w:rPr>
          <w:rStyle w:val="EndnoteReference"/>
        </w:rPr>
        <w:endnoteRef/>
      </w:r>
      <w:r>
        <w:t xml:space="preserve"> </w:t>
      </w:r>
      <w:r w:rsidR="007F308F" w:rsidRPr="00FB4147">
        <w:rPr>
          <w:rFonts w:ascii="Verdana" w:hAnsi="Verdana"/>
          <w:sz w:val="18"/>
          <w:szCs w:val="18"/>
        </w:rPr>
        <w:t xml:space="preserve">National Osteoporosis Society (2015) </w:t>
      </w:r>
      <w:r w:rsidR="007F308F" w:rsidRPr="00FB4147">
        <w:rPr>
          <w:rFonts w:ascii="Verdana" w:hAnsi="Verdana"/>
          <w:i/>
          <w:sz w:val="18"/>
          <w:szCs w:val="18"/>
        </w:rPr>
        <w:t>‘Effective secondary prevention of fragility fractures: clinical standards for fracture liaison services’.</w:t>
      </w:r>
      <w:r w:rsidR="007F308F" w:rsidRPr="00FB4147">
        <w:rPr>
          <w:rFonts w:ascii="Verdana" w:hAnsi="Verdana"/>
          <w:sz w:val="18"/>
          <w:szCs w:val="18"/>
        </w:rPr>
        <w:t xml:space="preserve">  Available at: </w:t>
      </w:r>
      <w:hyperlink r:id="rId7" w:history="1">
        <w:r w:rsidR="007F308F" w:rsidRPr="00FB4147">
          <w:rPr>
            <w:rStyle w:val="Hyperlink"/>
            <w:rFonts w:ascii="Verdana" w:hAnsi="Verdana"/>
            <w:color w:val="0000FF"/>
            <w:sz w:val="18"/>
            <w:szCs w:val="18"/>
          </w:rPr>
          <w:t>http://theros.org.uk/media/1776/clinical-standards-report.pdf</w:t>
        </w:r>
      </w:hyperlink>
      <w:r w:rsidR="007F308F" w:rsidRPr="00FB4147">
        <w:rPr>
          <w:rFonts w:ascii="Verdana" w:hAnsi="Verdana"/>
          <w:color w:val="0000FF"/>
          <w:sz w:val="18"/>
          <w:szCs w:val="18"/>
        </w:rPr>
        <w:t xml:space="preserve"> </w:t>
      </w:r>
      <w:r w:rsidR="007F308F" w:rsidRPr="00FB4147">
        <w:rPr>
          <w:rFonts w:ascii="Verdana" w:hAnsi="Verdana"/>
          <w:sz w:val="18"/>
          <w:szCs w:val="18"/>
        </w:rPr>
        <w:t>(accessed November 2019)</w:t>
      </w:r>
    </w:p>
  </w:endnote>
  <w:endnote w:id="12">
    <w:p w14:paraId="1F643746" w14:textId="1CB8FFBF" w:rsidR="0086704A" w:rsidRPr="00DF3FF4" w:rsidRDefault="0086704A" w:rsidP="00DF3FF4">
      <w:pPr>
        <w:jc w:val="both"/>
        <w:rPr>
          <w:rFonts w:ascii="Verdana" w:hAnsi="Verdana"/>
          <w:sz w:val="18"/>
          <w:szCs w:val="18"/>
        </w:rPr>
      </w:pPr>
      <w:r>
        <w:rPr>
          <w:rStyle w:val="EndnoteReference"/>
        </w:rPr>
        <w:endnoteRef/>
      </w:r>
      <w:r>
        <w:t xml:space="preserve"> </w:t>
      </w:r>
      <w:r w:rsidR="00DF3FF4" w:rsidRPr="00C56AB3">
        <w:rPr>
          <w:rFonts w:ascii="Verdana" w:hAnsi="Verdana" w:cs="Arial"/>
          <w:color w:val="000000"/>
          <w:sz w:val="18"/>
          <w:szCs w:val="18"/>
        </w:rPr>
        <w:t xml:space="preserve">National Institutes of Health </w:t>
      </w:r>
      <w:r w:rsidR="00DF3FF4" w:rsidRPr="00C56AB3">
        <w:rPr>
          <w:rFonts w:ascii="Verdana" w:hAnsi="Verdana"/>
          <w:sz w:val="18"/>
          <w:szCs w:val="18"/>
        </w:rPr>
        <w:t xml:space="preserve">Consensus Development Conference statement (1991). </w:t>
      </w:r>
      <w:r w:rsidR="00DF3FF4" w:rsidRPr="00E36C78">
        <w:rPr>
          <w:rFonts w:ascii="Verdana" w:hAnsi="Verdana"/>
          <w:iCs/>
          <w:sz w:val="18"/>
          <w:szCs w:val="18"/>
        </w:rPr>
        <w:t>The American Journal of Medicine</w:t>
      </w:r>
      <w:r w:rsidR="00DF3FF4" w:rsidRPr="00C56AB3">
        <w:rPr>
          <w:rFonts w:ascii="Verdana" w:hAnsi="Verdana"/>
          <w:i/>
          <w:sz w:val="18"/>
          <w:szCs w:val="18"/>
        </w:rPr>
        <w:t xml:space="preserve"> </w:t>
      </w:r>
      <w:r w:rsidR="00DF3FF4" w:rsidRPr="00C56AB3">
        <w:rPr>
          <w:rFonts w:ascii="Verdana" w:hAnsi="Verdana"/>
          <w:sz w:val="18"/>
          <w:szCs w:val="18"/>
        </w:rPr>
        <w:t>90(1), pp107–110.</w:t>
      </w:r>
    </w:p>
  </w:endnote>
  <w:endnote w:id="13">
    <w:p w14:paraId="57D2D9C5" w14:textId="30E31E57" w:rsidR="008A2E55" w:rsidRDefault="008A2E55" w:rsidP="009901DA">
      <w:pPr>
        <w:pStyle w:val="EndnoteText"/>
      </w:pPr>
      <w:r>
        <w:rPr>
          <w:rStyle w:val="EndnoteReference"/>
        </w:rPr>
        <w:endnoteRef/>
      </w:r>
      <w:r>
        <w:t xml:space="preserve"> </w:t>
      </w:r>
      <w:r w:rsidR="00D439D4">
        <w:rPr>
          <w:rFonts w:ascii="Verdana" w:hAnsi="Verdana"/>
          <w:sz w:val="18"/>
          <w:szCs w:val="18"/>
        </w:rPr>
        <w:t>International Osteoporosis Foundation (2018</w:t>
      </w:r>
      <w:r w:rsidR="00D439D4" w:rsidRPr="00707A43">
        <w:rPr>
          <w:rFonts w:ascii="Verdana" w:hAnsi="Verdana"/>
          <w:i/>
          <w:iCs/>
          <w:sz w:val="18"/>
          <w:szCs w:val="18"/>
        </w:rPr>
        <w:t>) ‘Broken Bones, Broken Lives: A roadmap to solve the fragility fracture crisis in Europe’</w:t>
      </w:r>
      <w:r w:rsidR="00D439D4">
        <w:rPr>
          <w:rFonts w:ascii="Verdana" w:hAnsi="Verdana"/>
          <w:sz w:val="18"/>
          <w:szCs w:val="18"/>
        </w:rPr>
        <w:t>.  Available at:</w:t>
      </w:r>
      <w:r w:rsidR="00D439D4" w:rsidRPr="001326A9">
        <w:rPr>
          <w:rFonts w:ascii="Verdana" w:hAnsi="Verdana"/>
          <w:sz w:val="18"/>
          <w:szCs w:val="18"/>
        </w:rPr>
        <w:t xml:space="preserve"> </w:t>
      </w:r>
      <w:hyperlink r:id="rId8" w:history="1">
        <w:r w:rsidR="00D439D4" w:rsidRPr="001326A9">
          <w:rPr>
            <w:rStyle w:val="Hyperlink"/>
            <w:rFonts w:ascii="Verdana" w:hAnsi="Verdana"/>
            <w:sz w:val="18"/>
            <w:szCs w:val="18"/>
          </w:rPr>
          <w:t>http://share.iofbonehealth.org/EU-6-Material/Reports/IOF%20Report_EU.pdf</w:t>
        </w:r>
      </w:hyperlink>
      <w:r w:rsidR="00D439D4" w:rsidRPr="001326A9">
        <w:rPr>
          <w:rFonts w:ascii="Verdana" w:hAnsi="Verdana"/>
          <w:sz w:val="18"/>
          <w:szCs w:val="18"/>
        </w:rPr>
        <w:t xml:space="preserve"> (a</w:t>
      </w:r>
      <w:r w:rsidR="00D439D4">
        <w:rPr>
          <w:rFonts w:ascii="Verdana" w:hAnsi="Verdana"/>
          <w:sz w:val="18"/>
          <w:szCs w:val="18"/>
        </w:rPr>
        <w:t>ccessed July 2020)</w:t>
      </w:r>
    </w:p>
  </w:endnote>
  <w:endnote w:id="14">
    <w:p w14:paraId="63D4DD41" w14:textId="0F6CCABC" w:rsidR="00A65220" w:rsidRDefault="00A65220">
      <w:pPr>
        <w:pStyle w:val="EndnoteText"/>
      </w:pPr>
      <w:r>
        <w:rPr>
          <w:rStyle w:val="EndnoteReference"/>
        </w:rPr>
        <w:endnoteRef/>
      </w:r>
      <w:r>
        <w:t xml:space="preserve"> NICE TA 161 : </w:t>
      </w:r>
      <w:hyperlink r:id="rId9" w:history="1">
        <w:r>
          <w:rPr>
            <w:rStyle w:val="Hyperlink"/>
          </w:rPr>
          <w:t>https://www.nice.org.uk/guidance/ta161/chapter/2-Clinical-need-and-practice</w:t>
        </w:r>
      </w:hyperlink>
      <w:r>
        <w:t xml:space="preserve"> (accessed July 2020)</w:t>
      </w:r>
    </w:p>
  </w:endnote>
  <w:endnote w:id="15">
    <w:p w14:paraId="7EF2ABFE" w14:textId="4EF9F512" w:rsidR="00E5144C" w:rsidRPr="00DD77DC" w:rsidRDefault="00E5144C" w:rsidP="009901DA">
      <w:pPr>
        <w:pStyle w:val="EndnoteText"/>
        <w:spacing w:after="200"/>
        <w:rPr>
          <w:rFonts w:ascii="Verdana" w:hAnsi="Verdana"/>
          <w:sz w:val="18"/>
          <w:szCs w:val="18"/>
        </w:rPr>
      </w:pPr>
      <w:r>
        <w:rPr>
          <w:rStyle w:val="EndnoteReference"/>
        </w:rPr>
        <w:endnoteRef/>
      </w:r>
      <w:r>
        <w:t xml:space="preserve"> </w:t>
      </w:r>
      <w:r w:rsidR="00DD77DC">
        <w:rPr>
          <w:rFonts w:ascii="Verdana" w:hAnsi="Verdana"/>
          <w:sz w:val="18"/>
          <w:szCs w:val="18"/>
        </w:rPr>
        <w:t xml:space="preserve">Government Office for Science (2016) </w:t>
      </w:r>
      <w:r w:rsidR="00DD77DC" w:rsidRPr="00CB66B3">
        <w:rPr>
          <w:rFonts w:ascii="Verdana" w:hAnsi="Verdana"/>
          <w:i/>
          <w:iCs/>
          <w:sz w:val="18"/>
          <w:szCs w:val="18"/>
        </w:rPr>
        <w:t>‘Future of an Aging Population’</w:t>
      </w:r>
      <w:r w:rsidR="00DD77DC">
        <w:rPr>
          <w:rFonts w:ascii="Verdana" w:hAnsi="Verdana"/>
          <w:sz w:val="18"/>
          <w:szCs w:val="18"/>
        </w:rPr>
        <w:t xml:space="preserve">. </w:t>
      </w:r>
      <w:r w:rsidR="00DD77DC" w:rsidRPr="00956CEB">
        <w:rPr>
          <w:rFonts w:ascii="Verdana" w:hAnsi="Verdana"/>
          <w:sz w:val="18"/>
          <w:szCs w:val="18"/>
        </w:rPr>
        <w:t xml:space="preserve">Available at: </w:t>
      </w:r>
      <w:hyperlink r:id="rId10" w:history="1">
        <w:r w:rsidR="00DD77DC" w:rsidRPr="00D6778C">
          <w:rPr>
            <w:rStyle w:val="Hyperlink"/>
            <w:rFonts w:ascii="Verdana" w:hAnsi="Verdana"/>
            <w:color w:val="0070C0"/>
            <w:sz w:val="18"/>
            <w:szCs w:val="18"/>
          </w:rPr>
          <w:t>https://assets.publishing.service.gov.uk/government/uploads/system/uploads/attachment_data/file/816458/future-of-an-ageing-population.p</w:t>
        </w:r>
        <w:r w:rsidR="00DD77DC" w:rsidRPr="00956CEB">
          <w:rPr>
            <w:rStyle w:val="Hyperlink"/>
            <w:rFonts w:ascii="Verdana" w:hAnsi="Verdana"/>
            <w:sz w:val="18"/>
            <w:szCs w:val="18"/>
          </w:rPr>
          <w:t>df</w:t>
        </w:r>
      </w:hyperlink>
      <w:r w:rsidR="00DD77DC">
        <w:rPr>
          <w:rFonts w:ascii="Verdana" w:hAnsi="Verdana"/>
          <w:sz w:val="18"/>
          <w:szCs w:val="18"/>
        </w:rPr>
        <w:t xml:space="preserve"> (accessed February 2020)</w:t>
      </w:r>
    </w:p>
  </w:endnote>
  <w:endnote w:id="16">
    <w:p w14:paraId="0D8A2466" w14:textId="77777777" w:rsidR="00664DCE" w:rsidRPr="001326A9" w:rsidRDefault="00664DCE" w:rsidP="00664DCE">
      <w:pPr>
        <w:autoSpaceDE w:val="0"/>
        <w:autoSpaceDN w:val="0"/>
        <w:adjustRightInd w:val="0"/>
        <w:rPr>
          <w:rFonts w:ascii="Verdana" w:hAnsi="Verdana"/>
          <w:sz w:val="18"/>
          <w:szCs w:val="18"/>
        </w:rPr>
      </w:pPr>
      <w:r w:rsidRPr="001326A9">
        <w:rPr>
          <w:rStyle w:val="EndnoteReference"/>
          <w:rFonts w:ascii="Verdana" w:hAnsi="Verdana"/>
          <w:sz w:val="18"/>
          <w:szCs w:val="18"/>
        </w:rPr>
        <w:endnoteRef/>
      </w:r>
      <w:r w:rsidRPr="001326A9">
        <w:rPr>
          <w:rFonts w:ascii="Verdana" w:hAnsi="Verdana"/>
          <w:sz w:val="18"/>
          <w:szCs w:val="18"/>
        </w:rPr>
        <w:t xml:space="preserve"> </w:t>
      </w:r>
      <w:r>
        <w:rPr>
          <w:rFonts w:ascii="Verdana" w:hAnsi="Verdana"/>
          <w:sz w:val="18"/>
          <w:szCs w:val="18"/>
        </w:rPr>
        <w:t>International Osteoporosis Foundation (2018</w:t>
      </w:r>
      <w:r w:rsidRPr="00707A43">
        <w:rPr>
          <w:rFonts w:ascii="Verdana" w:hAnsi="Verdana"/>
          <w:i/>
          <w:iCs/>
          <w:sz w:val="18"/>
          <w:szCs w:val="18"/>
        </w:rPr>
        <w:t>) ‘Broken Bones, Broken Lives: A roadmap to solve the fragility fracture crisis in Europe’</w:t>
      </w:r>
      <w:r>
        <w:rPr>
          <w:rFonts w:ascii="Verdana" w:hAnsi="Verdana"/>
          <w:sz w:val="18"/>
          <w:szCs w:val="18"/>
        </w:rPr>
        <w:t>.  Available at:</w:t>
      </w:r>
      <w:r w:rsidRPr="001326A9">
        <w:rPr>
          <w:rFonts w:ascii="Verdana" w:hAnsi="Verdana"/>
          <w:sz w:val="18"/>
          <w:szCs w:val="18"/>
        </w:rPr>
        <w:t xml:space="preserve"> </w:t>
      </w:r>
      <w:hyperlink r:id="rId11" w:history="1">
        <w:r w:rsidRPr="001326A9">
          <w:rPr>
            <w:rStyle w:val="Hyperlink"/>
            <w:rFonts w:ascii="Verdana" w:hAnsi="Verdana"/>
            <w:sz w:val="18"/>
            <w:szCs w:val="18"/>
          </w:rPr>
          <w:t>http://share.iofbonehealth.org/EU-6-Material/Reports/IOF%20Report_EU.pdf</w:t>
        </w:r>
      </w:hyperlink>
      <w:r w:rsidRPr="001326A9">
        <w:rPr>
          <w:rFonts w:ascii="Verdana" w:hAnsi="Verdana"/>
          <w:sz w:val="18"/>
          <w:szCs w:val="18"/>
        </w:rPr>
        <w:t xml:space="preserve"> (a</w:t>
      </w:r>
      <w:r>
        <w:rPr>
          <w:rFonts w:ascii="Verdana" w:hAnsi="Verdana"/>
          <w:sz w:val="18"/>
          <w:szCs w:val="18"/>
        </w:rPr>
        <w:t>ccessed</w:t>
      </w:r>
      <w:r w:rsidRPr="001326A9">
        <w:rPr>
          <w:rFonts w:ascii="Verdana" w:hAnsi="Verdana"/>
          <w:sz w:val="18"/>
          <w:szCs w:val="18"/>
        </w:rPr>
        <w:t xml:space="preserve"> </w:t>
      </w:r>
      <w:r>
        <w:rPr>
          <w:rFonts w:ascii="Verdana" w:hAnsi="Verdana"/>
          <w:sz w:val="18"/>
          <w:szCs w:val="18"/>
        </w:rPr>
        <w:t>July 2020</w:t>
      </w:r>
      <w:r w:rsidRPr="001326A9">
        <w:rPr>
          <w:rFonts w:ascii="Verdana" w:hAnsi="Verdana"/>
          <w:sz w:val="18"/>
          <w:szCs w:val="18"/>
        </w:rPr>
        <w:t>)</w:t>
      </w:r>
    </w:p>
  </w:endnote>
  <w:endnote w:id="17">
    <w:p w14:paraId="0ED69626" w14:textId="1FE31B87" w:rsidR="00716BAD" w:rsidRDefault="00716BAD">
      <w:pPr>
        <w:pStyle w:val="EndnoteText"/>
      </w:pPr>
      <w:r>
        <w:rPr>
          <w:rStyle w:val="EndnoteReference"/>
        </w:rPr>
        <w:endnoteRef/>
      </w:r>
      <w:r>
        <w:t xml:space="preserve"> </w:t>
      </w:r>
      <w:r>
        <w:rPr>
          <w:rFonts w:ascii="Verdana" w:hAnsi="Verdana"/>
          <w:sz w:val="18"/>
          <w:szCs w:val="18"/>
        </w:rPr>
        <w:t xml:space="preserve">National Institute for Health and Care Excellence (2012) </w:t>
      </w:r>
      <w:r w:rsidRPr="0068166F">
        <w:rPr>
          <w:rFonts w:ascii="Verdana" w:hAnsi="Verdana"/>
          <w:i/>
          <w:iCs/>
          <w:sz w:val="18"/>
          <w:szCs w:val="18"/>
        </w:rPr>
        <w:t>NICE Clinical Guideline 146.  Osteoporosis: Assessing the Risk of Fragility Fractures</w:t>
      </w:r>
      <w:r>
        <w:rPr>
          <w:rFonts w:ascii="Verdana" w:hAnsi="Verdana"/>
          <w:sz w:val="18"/>
          <w:szCs w:val="18"/>
        </w:rPr>
        <w:t xml:space="preserve">.  Available at: </w:t>
      </w:r>
      <w:hyperlink r:id="rId12" w:history="1">
        <w:r w:rsidRPr="001326A9">
          <w:rPr>
            <w:rStyle w:val="Hyperlink"/>
            <w:rFonts w:ascii="Verdana" w:hAnsi="Verdana"/>
            <w:sz w:val="18"/>
            <w:szCs w:val="18"/>
          </w:rPr>
          <w:t>https://www.nice.org.uk/guidance/cg146?unlid</w:t>
        </w:r>
      </w:hyperlink>
      <w:r w:rsidRPr="001326A9">
        <w:rPr>
          <w:rFonts w:ascii="Verdana" w:hAnsi="Verdana" w:cs="Arial"/>
          <w:sz w:val="18"/>
          <w:szCs w:val="18"/>
        </w:rPr>
        <w:t xml:space="preserve"> (accessed </w:t>
      </w:r>
      <w:r>
        <w:rPr>
          <w:rFonts w:ascii="Verdana" w:hAnsi="Verdana" w:cs="Arial"/>
          <w:sz w:val="18"/>
          <w:szCs w:val="18"/>
        </w:rPr>
        <w:t>November</w:t>
      </w:r>
      <w:r w:rsidRPr="001326A9">
        <w:rPr>
          <w:rFonts w:ascii="Verdana" w:hAnsi="Verdana" w:cs="Arial"/>
          <w:sz w:val="18"/>
          <w:szCs w:val="18"/>
        </w:rPr>
        <w:t xml:space="preserve"> 2019).</w:t>
      </w:r>
    </w:p>
  </w:endnote>
  <w:endnote w:id="18">
    <w:p w14:paraId="25A7FF54" w14:textId="77777777" w:rsidR="000A716D" w:rsidRDefault="000A716D" w:rsidP="000A716D">
      <w:pPr>
        <w:pStyle w:val="EndnoteText"/>
      </w:pPr>
      <w:r>
        <w:rPr>
          <w:rStyle w:val="EndnoteReference"/>
        </w:rPr>
        <w:endnoteRef/>
      </w:r>
      <w:r>
        <w:t xml:space="preserve"> </w:t>
      </w:r>
      <w:bookmarkStart w:id="0" w:name="_Hlk44922849"/>
      <w:r>
        <w:rPr>
          <w:rFonts w:ascii="Verdana" w:hAnsi="Verdana"/>
          <w:sz w:val="18"/>
          <w:szCs w:val="18"/>
        </w:rPr>
        <w:t>International Osteoporosis Foundation (2018</w:t>
      </w:r>
      <w:r w:rsidRPr="00707A43">
        <w:rPr>
          <w:rFonts w:ascii="Verdana" w:hAnsi="Verdana"/>
          <w:i/>
          <w:iCs/>
          <w:sz w:val="18"/>
          <w:szCs w:val="18"/>
        </w:rPr>
        <w:t>) ‘Broken Bones, Broken Lives: A roadmap to solve the fragility fracture crisis in Europe’</w:t>
      </w:r>
      <w:r>
        <w:rPr>
          <w:rFonts w:ascii="Verdana" w:hAnsi="Verdana"/>
          <w:sz w:val="18"/>
          <w:szCs w:val="18"/>
        </w:rPr>
        <w:t>.  Available at:</w:t>
      </w:r>
      <w:r w:rsidRPr="001326A9">
        <w:rPr>
          <w:rFonts w:ascii="Verdana" w:hAnsi="Verdana"/>
          <w:sz w:val="18"/>
          <w:szCs w:val="18"/>
        </w:rPr>
        <w:t xml:space="preserve"> </w:t>
      </w:r>
      <w:hyperlink r:id="rId13" w:history="1">
        <w:r w:rsidRPr="001326A9">
          <w:rPr>
            <w:rStyle w:val="Hyperlink"/>
            <w:rFonts w:ascii="Verdana" w:hAnsi="Verdana"/>
            <w:sz w:val="18"/>
            <w:szCs w:val="18"/>
          </w:rPr>
          <w:t>http://share.iofbonehealth.org/EU-6-Material/Reports/IOF%20Report_EU.pdf</w:t>
        </w:r>
      </w:hyperlink>
      <w:r w:rsidRPr="001326A9">
        <w:rPr>
          <w:rFonts w:ascii="Verdana" w:hAnsi="Verdana"/>
          <w:sz w:val="18"/>
          <w:szCs w:val="18"/>
        </w:rPr>
        <w:t xml:space="preserve"> (a</w:t>
      </w:r>
      <w:r>
        <w:rPr>
          <w:rFonts w:ascii="Verdana" w:hAnsi="Verdana"/>
          <w:sz w:val="18"/>
          <w:szCs w:val="18"/>
        </w:rPr>
        <w:t>ccessed</w:t>
      </w:r>
      <w:r w:rsidRPr="001326A9">
        <w:rPr>
          <w:rFonts w:ascii="Verdana" w:hAnsi="Verdana"/>
          <w:sz w:val="18"/>
          <w:szCs w:val="18"/>
        </w:rPr>
        <w:t xml:space="preserve"> </w:t>
      </w:r>
      <w:r>
        <w:rPr>
          <w:rFonts w:ascii="Verdana" w:hAnsi="Verdana"/>
          <w:sz w:val="18"/>
          <w:szCs w:val="18"/>
        </w:rPr>
        <w:t>July 2020</w:t>
      </w:r>
      <w:r w:rsidRPr="001326A9">
        <w:rPr>
          <w:rFonts w:ascii="Verdana" w:hAnsi="Verdana"/>
          <w:sz w:val="18"/>
          <w:szCs w:val="18"/>
        </w:rPr>
        <w:t>)</w:t>
      </w:r>
      <w:bookmarkEnd w:id="0"/>
    </w:p>
  </w:endnote>
  <w:endnote w:id="19">
    <w:p w14:paraId="6EC97E00" w14:textId="77777777" w:rsidR="006D5092" w:rsidRPr="001326A9" w:rsidRDefault="006D5092" w:rsidP="006D5092">
      <w:pPr>
        <w:pStyle w:val="EndnoteText"/>
        <w:spacing w:after="200"/>
        <w:rPr>
          <w:rFonts w:ascii="Verdana" w:hAnsi="Verdana"/>
          <w:sz w:val="18"/>
          <w:szCs w:val="18"/>
        </w:rPr>
      </w:pPr>
      <w:r w:rsidRPr="001326A9">
        <w:rPr>
          <w:rStyle w:val="EndnoteReference"/>
          <w:rFonts w:ascii="Verdana" w:hAnsi="Verdana"/>
          <w:sz w:val="18"/>
          <w:szCs w:val="18"/>
        </w:rPr>
        <w:endnoteRef/>
      </w:r>
      <w:r w:rsidRPr="001326A9">
        <w:rPr>
          <w:rFonts w:ascii="Verdana" w:hAnsi="Verdana"/>
          <w:sz w:val="18"/>
          <w:szCs w:val="18"/>
        </w:rPr>
        <w:t xml:space="preserve"> </w:t>
      </w:r>
      <w:r w:rsidRPr="008B3BB5">
        <w:rPr>
          <w:rFonts w:ascii="Verdana" w:hAnsi="Verdana"/>
          <w:sz w:val="18"/>
          <w:szCs w:val="18"/>
        </w:rPr>
        <w:t>Leal J, Gray AM, Javaid MK et al.</w:t>
      </w:r>
      <w:r>
        <w:rPr>
          <w:rFonts w:ascii="Verdana" w:hAnsi="Verdana"/>
          <w:sz w:val="18"/>
          <w:szCs w:val="18"/>
        </w:rPr>
        <w:t xml:space="preserve"> (2016)</w:t>
      </w:r>
      <w:r w:rsidRPr="008B3BB5">
        <w:rPr>
          <w:rFonts w:ascii="Verdana" w:hAnsi="Verdana"/>
          <w:sz w:val="18"/>
          <w:szCs w:val="18"/>
        </w:rPr>
        <w:t xml:space="preserve"> </w:t>
      </w:r>
      <w:r w:rsidRPr="008B3BB5">
        <w:rPr>
          <w:rFonts w:ascii="Verdana" w:hAnsi="Verdana"/>
          <w:i/>
          <w:iCs/>
          <w:sz w:val="18"/>
          <w:szCs w:val="18"/>
        </w:rPr>
        <w:t>‘Impact of hip fracture on hospital care costs: a population- based study’.</w:t>
      </w:r>
      <w:r w:rsidRPr="008B3BB5">
        <w:rPr>
          <w:rFonts w:ascii="Verdana" w:hAnsi="Verdana"/>
          <w:sz w:val="18"/>
          <w:szCs w:val="18"/>
        </w:rPr>
        <w:t xml:space="preserve"> Osteoporos</w:t>
      </w:r>
      <w:r>
        <w:rPr>
          <w:rFonts w:ascii="Verdana" w:hAnsi="Verdana"/>
          <w:sz w:val="18"/>
          <w:szCs w:val="18"/>
        </w:rPr>
        <w:t>is</w:t>
      </w:r>
      <w:r w:rsidRPr="008B3BB5">
        <w:rPr>
          <w:rFonts w:ascii="Verdana" w:hAnsi="Verdana"/>
          <w:sz w:val="18"/>
          <w:szCs w:val="18"/>
        </w:rPr>
        <w:t xml:space="preserve"> Int</w:t>
      </w:r>
      <w:r>
        <w:rPr>
          <w:rFonts w:ascii="Verdana" w:hAnsi="Verdana"/>
          <w:sz w:val="18"/>
          <w:szCs w:val="18"/>
        </w:rPr>
        <w:t>ernational</w:t>
      </w:r>
      <w:r w:rsidRPr="008B3BB5">
        <w:rPr>
          <w:rFonts w:ascii="Verdana" w:hAnsi="Verdana"/>
          <w:sz w:val="18"/>
          <w:szCs w:val="18"/>
        </w:rPr>
        <w:t xml:space="preserve"> 27</w:t>
      </w:r>
      <w:r>
        <w:rPr>
          <w:rFonts w:ascii="Verdana" w:hAnsi="Verdana"/>
          <w:sz w:val="18"/>
          <w:szCs w:val="18"/>
        </w:rPr>
        <w:t>, pp</w:t>
      </w:r>
      <w:r w:rsidRPr="008B3BB5">
        <w:rPr>
          <w:rFonts w:ascii="Verdana" w:hAnsi="Verdana"/>
          <w:sz w:val="18"/>
          <w:szCs w:val="18"/>
        </w:rPr>
        <w:t>549–58.</w:t>
      </w:r>
    </w:p>
  </w:endnote>
  <w:endnote w:id="20">
    <w:p w14:paraId="60DE0581" w14:textId="77777777" w:rsidR="00F86E1F" w:rsidRPr="001326A9" w:rsidRDefault="00F86E1F" w:rsidP="00F86E1F">
      <w:pPr>
        <w:pStyle w:val="EndnoteText"/>
        <w:spacing w:before="60" w:after="60"/>
        <w:rPr>
          <w:rFonts w:ascii="Verdana" w:hAnsi="Verdana"/>
          <w:sz w:val="18"/>
          <w:szCs w:val="18"/>
        </w:rPr>
      </w:pPr>
      <w:r w:rsidRPr="001326A9">
        <w:rPr>
          <w:rStyle w:val="EndnoteReference"/>
          <w:rFonts w:ascii="Verdana" w:hAnsi="Verdana"/>
          <w:sz w:val="18"/>
          <w:szCs w:val="18"/>
        </w:rPr>
        <w:endnoteRef/>
      </w:r>
      <w:r w:rsidRPr="001326A9">
        <w:rPr>
          <w:rFonts w:ascii="Verdana" w:hAnsi="Verdana"/>
          <w:sz w:val="18"/>
          <w:szCs w:val="18"/>
        </w:rPr>
        <w:t xml:space="preserve"> </w:t>
      </w:r>
      <w:r>
        <w:rPr>
          <w:rFonts w:ascii="Verdana" w:hAnsi="Verdana"/>
          <w:sz w:val="18"/>
          <w:szCs w:val="18"/>
        </w:rPr>
        <w:t xml:space="preserve">Royal College of Physicians (2018) </w:t>
      </w:r>
      <w:r w:rsidRPr="0064460D">
        <w:rPr>
          <w:rFonts w:ascii="Verdana" w:hAnsi="Verdana"/>
          <w:i/>
          <w:iCs/>
          <w:sz w:val="18"/>
          <w:szCs w:val="18"/>
        </w:rPr>
        <w:t>‘National Hip Fracture Database Report’</w:t>
      </w:r>
      <w:r>
        <w:rPr>
          <w:rFonts w:ascii="Verdana" w:hAnsi="Verdana"/>
          <w:i/>
          <w:iCs/>
          <w:sz w:val="18"/>
          <w:szCs w:val="18"/>
        </w:rPr>
        <w:t xml:space="preserve">.  </w:t>
      </w:r>
      <w:r>
        <w:rPr>
          <w:rFonts w:ascii="Verdana" w:hAnsi="Verdana"/>
          <w:sz w:val="18"/>
          <w:szCs w:val="18"/>
        </w:rPr>
        <w:t xml:space="preserve">Available at:  </w:t>
      </w:r>
      <w:hyperlink r:id="rId14" w:history="1">
        <w:r w:rsidRPr="001F3C8B">
          <w:rPr>
            <w:rStyle w:val="Hyperlink"/>
            <w:rFonts w:ascii="Verdana" w:hAnsi="Verdana"/>
            <w:sz w:val="18"/>
            <w:szCs w:val="18"/>
          </w:rPr>
          <w:t>https://www.nhfd.co.uk/files/2018ReportFiles/NHFD-2018-Annual-Report-v101.pdf</w:t>
        </w:r>
      </w:hyperlink>
      <w:r>
        <w:rPr>
          <w:rFonts w:ascii="Verdana" w:hAnsi="Verdana"/>
          <w:sz w:val="18"/>
          <w:szCs w:val="18"/>
        </w:rPr>
        <w:t xml:space="preserve"> (accessed March 2020)</w:t>
      </w:r>
    </w:p>
  </w:endnote>
  <w:endnote w:id="21">
    <w:p w14:paraId="4B7EDC51" w14:textId="4DCF228A" w:rsidR="003504CB" w:rsidRDefault="003504CB">
      <w:pPr>
        <w:pStyle w:val="EndnoteText"/>
      </w:pPr>
      <w:r>
        <w:rPr>
          <w:rStyle w:val="EndnoteReference"/>
        </w:rPr>
        <w:endnoteRef/>
      </w:r>
      <w:r>
        <w:t xml:space="preserve"> </w:t>
      </w:r>
      <w:r>
        <w:rPr>
          <w:rFonts w:ascii="Verdana" w:hAnsi="Verdana"/>
          <w:sz w:val="18"/>
          <w:szCs w:val="18"/>
        </w:rPr>
        <w:t xml:space="preserve">Royal College of Physicians (2018) </w:t>
      </w:r>
      <w:r w:rsidRPr="0064460D">
        <w:rPr>
          <w:rFonts w:ascii="Verdana" w:hAnsi="Verdana"/>
          <w:i/>
          <w:iCs/>
          <w:sz w:val="18"/>
          <w:szCs w:val="18"/>
        </w:rPr>
        <w:t>‘National Hip Fracture Database Report’</w:t>
      </w:r>
      <w:r>
        <w:rPr>
          <w:rFonts w:ascii="Verdana" w:hAnsi="Verdana"/>
          <w:i/>
          <w:iCs/>
          <w:sz w:val="18"/>
          <w:szCs w:val="18"/>
        </w:rPr>
        <w:t xml:space="preserve">.  </w:t>
      </w:r>
      <w:r>
        <w:rPr>
          <w:rFonts w:ascii="Verdana" w:hAnsi="Verdana"/>
          <w:sz w:val="18"/>
          <w:szCs w:val="18"/>
        </w:rPr>
        <w:t xml:space="preserve">Available at:  </w:t>
      </w:r>
      <w:hyperlink r:id="rId15" w:history="1">
        <w:r w:rsidRPr="001F3C8B">
          <w:rPr>
            <w:rStyle w:val="Hyperlink"/>
            <w:rFonts w:ascii="Verdana" w:hAnsi="Verdana"/>
            <w:sz w:val="18"/>
            <w:szCs w:val="18"/>
          </w:rPr>
          <w:t>https://www.nhfd.co.uk/files/2018ReportFiles/NHFD-2018-Annual-Report-v101.pdf</w:t>
        </w:r>
      </w:hyperlink>
      <w:r>
        <w:rPr>
          <w:rFonts w:ascii="Verdana" w:hAnsi="Verdana"/>
          <w:sz w:val="18"/>
          <w:szCs w:val="18"/>
        </w:rPr>
        <w:t xml:space="preserve"> (accessed March 2020)</w:t>
      </w:r>
    </w:p>
  </w:endnote>
  <w:endnote w:id="22">
    <w:p w14:paraId="55B9B6E9" w14:textId="128B307B" w:rsidR="00A46C96" w:rsidRPr="0031594D" w:rsidRDefault="00A46C96" w:rsidP="003D336B">
      <w:pPr>
        <w:autoSpaceDE w:val="0"/>
        <w:autoSpaceDN w:val="0"/>
        <w:adjustRightInd w:val="0"/>
        <w:spacing w:after="0"/>
        <w:rPr>
          <w:rFonts w:ascii="Verdana" w:hAnsi="Verdana"/>
          <w:sz w:val="18"/>
          <w:szCs w:val="18"/>
        </w:rPr>
      </w:pPr>
      <w:r>
        <w:rPr>
          <w:rStyle w:val="EndnoteReference"/>
        </w:rPr>
        <w:endnoteRef/>
      </w:r>
      <w:r w:rsidR="0031594D">
        <w:rPr>
          <w:rFonts w:ascii="Verdana" w:eastAsiaTheme="minorHAnsi" w:hAnsi="Verdana" w:cs="AdvOT9476842c"/>
          <w:sz w:val="18"/>
          <w:szCs w:val="18"/>
          <w:lang w:val="en-GB" w:eastAsia="en-US"/>
        </w:rPr>
        <w:t>Krishnan</w:t>
      </w:r>
      <w:r w:rsidR="00AB2270" w:rsidRPr="0031594D">
        <w:rPr>
          <w:rFonts w:ascii="Verdana" w:eastAsiaTheme="minorHAnsi" w:hAnsi="Verdana" w:cs="AdvOT9476842c"/>
          <w:sz w:val="18"/>
          <w:szCs w:val="18"/>
          <w:lang w:val="en-GB" w:eastAsia="en-US"/>
        </w:rPr>
        <w:t>, M.</w:t>
      </w:r>
      <w:r w:rsidRPr="0031594D">
        <w:rPr>
          <w:rFonts w:ascii="Verdana" w:eastAsiaTheme="minorHAnsi" w:hAnsi="Verdana" w:cs="AdvOT9476842c"/>
          <w:sz w:val="18"/>
          <w:szCs w:val="18"/>
          <w:lang w:val="en-GB" w:eastAsia="en-US"/>
        </w:rPr>
        <w:t>, B</w:t>
      </w:r>
      <w:r w:rsidR="0031594D">
        <w:rPr>
          <w:rFonts w:ascii="Verdana" w:eastAsiaTheme="minorHAnsi" w:hAnsi="Verdana" w:cs="AdvOT9476842c"/>
          <w:sz w:val="18"/>
          <w:szCs w:val="18"/>
          <w:lang w:val="en-GB" w:eastAsia="en-US"/>
        </w:rPr>
        <w:t>eck</w:t>
      </w:r>
      <w:r w:rsidR="00AB2270" w:rsidRPr="0031594D">
        <w:rPr>
          <w:rFonts w:ascii="Verdana" w:eastAsiaTheme="minorHAnsi" w:hAnsi="Verdana" w:cs="AdvOT9476842c"/>
          <w:sz w:val="18"/>
          <w:szCs w:val="18"/>
          <w:lang w:val="en-GB" w:eastAsia="en-US"/>
        </w:rPr>
        <w:t>, S.</w:t>
      </w:r>
      <w:r w:rsidRPr="0031594D">
        <w:rPr>
          <w:rFonts w:ascii="Verdana" w:eastAsiaTheme="minorHAnsi" w:hAnsi="Verdana" w:cs="AdvOT9476842c"/>
          <w:sz w:val="18"/>
          <w:szCs w:val="18"/>
          <w:lang w:val="en-GB" w:eastAsia="en-US"/>
        </w:rPr>
        <w:t>, H</w:t>
      </w:r>
      <w:r w:rsidR="0031594D">
        <w:rPr>
          <w:rFonts w:ascii="Verdana" w:eastAsiaTheme="minorHAnsi" w:hAnsi="Verdana" w:cs="AdvOT9476842c"/>
          <w:sz w:val="18"/>
          <w:szCs w:val="18"/>
          <w:lang w:val="en-GB" w:eastAsia="en-US"/>
        </w:rPr>
        <w:t>avelock</w:t>
      </w:r>
      <w:r w:rsidR="00AB2270" w:rsidRPr="0031594D">
        <w:rPr>
          <w:rFonts w:ascii="Verdana" w:eastAsiaTheme="minorHAnsi" w:hAnsi="Verdana" w:cs="AdvOT9476842c"/>
          <w:sz w:val="18"/>
          <w:szCs w:val="18"/>
          <w:lang w:val="en-GB" w:eastAsia="en-US"/>
        </w:rPr>
        <w:t>, W.</w:t>
      </w:r>
      <w:r w:rsidRPr="0031594D">
        <w:rPr>
          <w:rFonts w:ascii="Verdana" w:eastAsiaTheme="minorHAnsi" w:hAnsi="Verdana" w:cs="AdvOT9476842c"/>
          <w:sz w:val="18"/>
          <w:szCs w:val="18"/>
          <w:lang w:val="en-GB" w:eastAsia="en-US"/>
        </w:rPr>
        <w:t>, E</w:t>
      </w:r>
      <w:r w:rsidR="0031594D">
        <w:rPr>
          <w:rFonts w:ascii="Verdana" w:eastAsiaTheme="minorHAnsi" w:hAnsi="Verdana" w:cs="AdvOT9476842c"/>
          <w:sz w:val="18"/>
          <w:szCs w:val="18"/>
          <w:lang w:val="en-GB" w:eastAsia="en-US"/>
        </w:rPr>
        <w:t>eles</w:t>
      </w:r>
      <w:r w:rsidR="00AB2270" w:rsidRPr="0031594D">
        <w:rPr>
          <w:rFonts w:ascii="Verdana" w:eastAsiaTheme="minorHAnsi" w:hAnsi="Verdana" w:cs="AdvOT9476842c"/>
          <w:sz w:val="18"/>
          <w:szCs w:val="18"/>
          <w:lang w:val="en-GB" w:eastAsia="en-US"/>
        </w:rPr>
        <w:t>, E.</w:t>
      </w:r>
      <w:r w:rsidRPr="0031594D">
        <w:rPr>
          <w:rFonts w:ascii="Verdana" w:eastAsiaTheme="minorHAnsi" w:hAnsi="Verdana" w:cs="AdvOT9476842c"/>
          <w:sz w:val="18"/>
          <w:szCs w:val="18"/>
          <w:lang w:val="en-GB" w:eastAsia="en-US"/>
        </w:rPr>
        <w:t>, H</w:t>
      </w:r>
      <w:r w:rsidR="0031594D">
        <w:rPr>
          <w:rFonts w:ascii="Verdana" w:eastAsiaTheme="minorHAnsi" w:hAnsi="Verdana" w:cs="AdvOT9476842c"/>
          <w:sz w:val="18"/>
          <w:szCs w:val="18"/>
          <w:lang w:val="en-GB" w:eastAsia="en-US"/>
        </w:rPr>
        <w:t>ubbard</w:t>
      </w:r>
      <w:r w:rsidR="00AB2270" w:rsidRPr="0031594D">
        <w:rPr>
          <w:rFonts w:ascii="Verdana" w:eastAsiaTheme="minorHAnsi" w:hAnsi="Verdana" w:cs="AdvOT9476842c"/>
          <w:sz w:val="18"/>
          <w:szCs w:val="18"/>
          <w:lang w:val="en-GB" w:eastAsia="en-US"/>
        </w:rPr>
        <w:t>, R.E.</w:t>
      </w:r>
      <w:r w:rsidR="0031594D" w:rsidRPr="0031594D">
        <w:rPr>
          <w:rFonts w:ascii="Verdana" w:eastAsiaTheme="minorHAnsi" w:hAnsi="Verdana" w:cs="AdvOT9476842c"/>
          <w:sz w:val="18"/>
          <w:szCs w:val="18"/>
          <w:lang w:val="en-GB" w:eastAsia="en-US"/>
        </w:rPr>
        <w:t xml:space="preserve"> and </w:t>
      </w:r>
      <w:r w:rsidRPr="0031594D">
        <w:rPr>
          <w:rFonts w:ascii="Verdana" w:eastAsiaTheme="minorHAnsi" w:hAnsi="Verdana" w:cs="AdvOT9476842c"/>
          <w:sz w:val="18"/>
          <w:szCs w:val="18"/>
          <w:lang w:val="en-GB" w:eastAsia="en-US"/>
        </w:rPr>
        <w:t>J</w:t>
      </w:r>
      <w:r w:rsidR="00A27B80">
        <w:rPr>
          <w:rFonts w:ascii="Verdana" w:eastAsiaTheme="minorHAnsi" w:hAnsi="Verdana" w:cs="AdvOT9476842c"/>
          <w:sz w:val="18"/>
          <w:szCs w:val="18"/>
          <w:lang w:val="en-GB" w:eastAsia="en-US"/>
        </w:rPr>
        <w:t>ohansen</w:t>
      </w:r>
      <w:r w:rsidR="0031594D" w:rsidRPr="0031594D">
        <w:rPr>
          <w:rFonts w:ascii="Verdana" w:eastAsiaTheme="minorHAnsi" w:hAnsi="Verdana" w:cs="AdvOT9476842c"/>
          <w:sz w:val="18"/>
          <w:szCs w:val="18"/>
          <w:lang w:val="en-GB" w:eastAsia="en-US"/>
        </w:rPr>
        <w:t>,</w:t>
      </w:r>
      <w:r w:rsidR="00A27B80">
        <w:rPr>
          <w:rFonts w:ascii="Verdana" w:eastAsiaTheme="minorHAnsi" w:hAnsi="Verdana" w:cs="AdvOT9476842c"/>
          <w:sz w:val="18"/>
          <w:szCs w:val="18"/>
          <w:lang w:val="en-GB" w:eastAsia="en-US"/>
        </w:rPr>
        <w:t xml:space="preserve"> </w:t>
      </w:r>
      <w:r w:rsidR="0031594D" w:rsidRPr="0031594D">
        <w:rPr>
          <w:rFonts w:ascii="Verdana" w:eastAsiaTheme="minorHAnsi" w:hAnsi="Verdana" w:cs="AdvOT9476842c"/>
          <w:sz w:val="18"/>
          <w:szCs w:val="18"/>
          <w:lang w:val="en-GB" w:eastAsia="en-US"/>
        </w:rPr>
        <w:t>A. (</w:t>
      </w:r>
      <w:r w:rsidR="003D336B">
        <w:rPr>
          <w:rFonts w:ascii="Verdana" w:eastAsiaTheme="minorHAnsi" w:hAnsi="Verdana" w:cs="AdvOT9476842c"/>
          <w:sz w:val="18"/>
          <w:szCs w:val="18"/>
          <w:lang w:val="en-GB" w:eastAsia="en-US"/>
        </w:rPr>
        <w:t xml:space="preserve">2014). </w:t>
      </w:r>
      <w:r w:rsidR="003D336B" w:rsidRPr="003D336B">
        <w:rPr>
          <w:rFonts w:ascii="Verdana" w:eastAsiaTheme="minorHAnsi" w:hAnsi="Verdana" w:cs="AdvOTe510cf62.B"/>
          <w:sz w:val="18"/>
          <w:szCs w:val="18"/>
          <w:lang w:val="en-GB" w:eastAsia="en-US"/>
        </w:rPr>
        <w:t>Predicting outcome after hip fracture: using a</w:t>
      </w:r>
      <w:r w:rsidR="003D336B">
        <w:rPr>
          <w:rFonts w:ascii="Verdana" w:eastAsiaTheme="minorHAnsi" w:hAnsi="Verdana" w:cs="AdvOTe510cf62.B"/>
          <w:sz w:val="18"/>
          <w:szCs w:val="18"/>
          <w:lang w:val="en-GB" w:eastAsia="en-US"/>
        </w:rPr>
        <w:t xml:space="preserve"> </w:t>
      </w:r>
      <w:r w:rsidR="003D336B" w:rsidRPr="003D336B">
        <w:rPr>
          <w:rFonts w:ascii="Verdana" w:eastAsiaTheme="minorHAnsi" w:hAnsi="Verdana" w:cs="AdvOTe510cf62.B"/>
          <w:sz w:val="18"/>
          <w:szCs w:val="18"/>
          <w:lang w:val="en-GB" w:eastAsia="en-US"/>
        </w:rPr>
        <w:t>frailty index to integrate comprehensive geriatric assessment results</w:t>
      </w:r>
      <w:r w:rsidR="003D336B">
        <w:rPr>
          <w:rFonts w:ascii="Verdana" w:eastAsiaTheme="minorHAnsi" w:hAnsi="Verdana" w:cs="AdvOTe510cf62.B"/>
          <w:sz w:val="18"/>
          <w:szCs w:val="18"/>
          <w:lang w:val="en-GB" w:eastAsia="en-US"/>
        </w:rPr>
        <w:t xml:space="preserve">. </w:t>
      </w:r>
      <w:r w:rsidR="008F2E65">
        <w:rPr>
          <w:rFonts w:ascii="AdvOTb9f64e59.I" w:eastAsiaTheme="minorHAnsi" w:hAnsi="AdvOTb9f64e59.I" w:cs="AdvOTb9f64e59.I"/>
          <w:sz w:val="18"/>
          <w:szCs w:val="18"/>
          <w:lang w:val="en-GB" w:eastAsia="en-US"/>
        </w:rPr>
        <w:t xml:space="preserve">Age and Ageing </w:t>
      </w:r>
      <w:r w:rsidR="008F2E65">
        <w:rPr>
          <w:rFonts w:ascii="AdvOT9476842c" w:eastAsiaTheme="minorHAnsi" w:hAnsi="AdvOT9476842c" w:cs="AdvOT9476842c"/>
          <w:sz w:val="18"/>
          <w:szCs w:val="18"/>
          <w:lang w:val="en-GB" w:eastAsia="en-US"/>
        </w:rPr>
        <w:t xml:space="preserve">2014; </w:t>
      </w:r>
      <w:r w:rsidR="008F2E65">
        <w:rPr>
          <w:rFonts w:ascii="AdvOTe510cf62.B" w:eastAsiaTheme="minorHAnsi" w:hAnsi="AdvOTe510cf62.B" w:cs="AdvOTe510cf62.B"/>
          <w:sz w:val="18"/>
          <w:szCs w:val="18"/>
          <w:lang w:val="en-GB" w:eastAsia="en-US"/>
        </w:rPr>
        <w:t xml:space="preserve">43: </w:t>
      </w:r>
      <w:r w:rsidR="008F2E65">
        <w:rPr>
          <w:rFonts w:ascii="AdvOT9476842c" w:eastAsiaTheme="minorHAnsi" w:hAnsi="AdvOT9476842c" w:cs="AdvOT9476842c"/>
          <w:sz w:val="18"/>
          <w:szCs w:val="18"/>
          <w:lang w:val="en-GB" w:eastAsia="en-US"/>
        </w:rPr>
        <w:t>122</w:t>
      </w:r>
      <w:r w:rsidR="008F2E65">
        <w:rPr>
          <w:rFonts w:ascii="AdvTT378de93d+20" w:eastAsiaTheme="minorHAnsi" w:hAnsi="AdvTT378de93d+20" w:cs="AdvTT378de93d+20"/>
          <w:sz w:val="18"/>
          <w:szCs w:val="18"/>
          <w:lang w:val="en-GB" w:eastAsia="en-US"/>
        </w:rPr>
        <w:t>–</w:t>
      </w:r>
      <w:r w:rsidR="008F2E65">
        <w:rPr>
          <w:rFonts w:ascii="AdvOT9476842c" w:eastAsiaTheme="minorHAnsi" w:hAnsi="AdvOT9476842c" w:cs="AdvOT9476842c"/>
          <w:sz w:val="18"/>
          <w:szCs w:val="18"/>
          <w:lang w:val="en-GB" w:eastAsia="en-US"/>
        </w:rPr>
        <w:t>126</w:t>
      </w:r>
    </w:p>
  </w:endnote>
  <w:endnote w:id="23">
    <w:p w14:paraId="5679CFC1" w14:textId="77777777" w:rsidR="006A084D" w:rsidRDefault="006A084D" w:rsidP="006A084D">
      <w:pPr>
        <w:pStyle w:val="EndnoteText"/>
      </w:pPr>
      <w:r>
        <w:rPr>
          <w:rStyle w:val="EndnoteReference"/>
        </w:rPr>
        <w:endnoteRef/>
      </w:r>
      <w:r>
        <w:t xml:space="preserve"> </w:t>
      </w:r>
      <w:r w:rsidRPr="001326A9">
        <w:rPr>
          <w:rFonts w:ascii="Verdana" w:hAnsi="Verdana"/>
          <w:sz w:val="18"/>
          <w:szCs w:val="18"/>
        </w:rPr>
        <w:t xml:space="preserve">Department of Health (2009). </w:t>
      </w:r>
      <w:r>
        <w:rPr>
          <w:rFonts w:ascii="Verdana" w:hAnsi="Verdana"/>
          <w:i/>
          <w:iCs/>
          <w:sz w:val="18"/>
          <w:szCs w:val="18"/>
        </w:rPr>
        <w:t>‘</w:t>
      </w:r>
      <w:r w:rsidRPr="001326A9">
        <w:rPr>
          <w:rFonts w:ascii="Verdana" w:hAnsi="Verdana"/>
          <w:i/>
          <w:sz w:val="18"/>
          <w:szCs w:val="18"/>
        </w:rPr>
        <w:t>Falls and Fractures: Effective Interventions in Health and Social Care. Prevention Package for Older People</w:t>
      </w:r>
      <w:r>
        <w:rPr>
          <w:rFonts w:ascii="Verdana" w:hAnsi="Verdana"/>
          <w:i/>
          <w:sz w:val="18"/>
          <w:szCs w:val="18"/>
        </w:rPr>
        <w:t>’</w:t>
      </w:r>
      <w:r w:rsidRPr="001326A9">
        <w:rPr>
          <w:rFonts w:ascii="Verdana" w:hAnsi="Verdana"/>
          <w:i/>
          <w:sz w:val="18"/>
          <w:szCs w:val="18"/>
        </w:rPr>
        <w:t>.</w:t>
      </w:r>
      <w:r>
        <w:rPr>
          <w:rFonts w:ascii="Verdana" w:hAnsi="Verdana"/>
          <w:i/>
          <w:sz w:val="18"/>
          <w:szCs w:val="18"/>
        </w:rPr>
        <w:t xml:space="preserve">  </w:t>
      </w:r>
      <w:r w:rsidRPr="00A8482B">
        <w:rPr>
          <w:rFonts w:ascii="Verdana" w:hAnsi="Verdana"/>
          <w:iCs/>
          <w:sz w:val="18"/>
          <w:szCs w:val="18"/>
        </w:rPr>
        <w:t>Available at:</w:t>
      </w:r>
      <w:r w:rsidRPr="001326A9">
        <w:rPr>
          <w:rFonts w:ascii="Verdana" w:hAnsi="Verdana"/>
          <w:sz w:val="18"/>
          <w:szCs w:val="18"/>
        </w:rPr>
        <w:t xml:space="preserve"> </w:t>
      </w:r>
      <w:hyperlink r:id="rId16" w:history="1">
        <w:r w:rsidRPr="003F13C2">
          <w:rPr>
            <w:rStyle w:val="Hyperlink"/>
            <w:rFonts w:ascii="Verdana" w:hAnsi="Verdana"/>
            <w:sz w:val="18"/>
            <w:szCs w:val="18"/>
          </w:rPr>
          <w:t>http://www.laterlifetraining.co.uk/wp-content/uploads/2011/12/FF_Effective-Interventions-in-health-and-social-care.pdf</w:t>
        </w:r>
      </w:hyperlink>
      <w:r>
        <w:rPr>
          <w:rFonts w:ascii="Verdana" w:hAnsi="Verdana"/>
          <w:sz w:val="18"/>
          <w:szCs w:val="18"/>
        </w:rPr>
        <w:t xml:space="preserve"> (accessed February 2020)</w:t>
      </w:r>
    </w:p>
  </w:endnote>
  <w:endnote w:id="24">
    <w:p w14:paraId="1A23F9DB" w14:textId="77777777" w:rsidR="006A084D" w:rsidRPr="001326A9" w:rsidRDefault="006A084D" w:rsidP="006A084D">
      <w:pPr>
        <w:pStyle w:val="EndnoteText"/>
        <w:spacing w:before="60" w:after="60"/>
        <w:rPr>
          <w:rFonts w:ascii="Verdana" w:hAnsi="Verdana"/>
          <w:sz w:val="18"/>
          <w:szCs w:val="18"/>
        </w:rPr>
      </w:pPr>
      <w:r w:rsidRPr="001326A9">
        <w:rPr>
          <w:rStyle w:val="EndnoteReference"/>
          <w:rFonts w:ascii="Verdana" w:hAnsi="Verdana"/>
          <w:sz w:val="18"/>
          <w:szCs w:val="18"/>
        </w:rPr>
        <w:endnoteRef/>
      </w:r>
      <w:r w:rsidRPr="001326A9">
        <w:rPr>
          <w:rFonts w:ascii="Verdana" w:hAnsi="Verdana"/>
          <w:sz w:val="18"/>
          <w:szCs w:val="18"/>
        </w:rPr>
        <w:t xml:space="preserve"> </w:t>
      </w:r>
      <w:r w:rsidRPr="001326A9">
        <w:rPr>
          <w:rFonts w:ascii="Verdana" w:hAnsi="Verdana" w:cs="Arial"/>
          <w:sz w:val="18"/>
          <w:szCs w:val="18"/>
          <w:lang w:eastAsia="en-US"/>
        </w:rPr>
        <w:t>National Osteoporosis Society. Stop at One Survey. (2013). National Osteoporosis Society.</w:t>
      </w:r>
    </w:p>
  </w:endnote>
  <w:endnote w:id="25">
    <w:p w14:paraId="561CDE64" w14:textId="77777777" w:rsidR="004678F8" w:rsidRDefault="004678F8" w:rsidP="004678F8">
      <w:pPr>
        <w:spacing w:before="60" w:after="60"/>
      </w:pPr>
      <w:r>
        <w:rPr>
          <w:rStyle w:val="EndnoteReference"/>
        </w:rPr>
        <w:endnoteRef/>
      </w:r>
      <w:r>
        <w:t xml:space="preserve"> </w:t>
      </w:r>
      <w:r w:rsidRPr="002D581D">
        <w:rPr>
          <w:rFonts w:ascii="Verdana" w:hAnsi="Verdana" w:cs="Arial"/>
          <w:sz w:val="18"/>
          <w:szCs w:val="18"/>
        </w:rPr>
        <w:t xml:space="preserve">McLellan AR, Reid DM, Forbes K et al., (2004) NHS Quality Improvement Scotland. </w:t>
      </w:r>
      <w:r w:rsidRPr="00561936">
        <w:rPr>
          <w:rFonts w:ascii="Verdana" w:hAnsi="Verdana" w:cs="Arial"/>
          <w:i/>
          <w:iCs/>
          <w:sz w:val="18"/>
          <w:szCs w:val="18"/>
        </w:rPr>
        <w:t>‘Effectiveness of Strategies for the Secondary Prevention of Osteoporotic Fractures in Scotland’</w:t>
      </w:r>
      <w:r w:rsidRPr="002D581D">
        <w:rPr>
          <w:rFonts w:ascii="Verdana" w:hAnsi="Verdana" w:cs="Arial"/>
          <w:sz w:val="18"/>
          <w:szCs w:val="18"/>
        </w:rPr>
        <w:t xml:space="preserve">. </w:t>
      </w:r>
      <w:r>
        <w:rPr>
          <w:rFonts w:ascii="Verdana" w:hAnsi="Verdana" w:cs="Arial"/>
          <w:sz w:val="18"/>
          <w:szCs w:val="18"/>
        </w:rPr>
        <w:t xml:space="preserve">Available at: </w:t>
      </w:r>
      <w:hyperlink r:id="rId17" w:history="1">
        <w:r w:rsidRPr="0089603E">
          <w:rPr>
            <w:rStyle w:val="Hyperlink"/>
            <w:rFonts w:ascii="Verdana" w:hAnsi="Verdana"/>
            <w:sz w:val="18"/>
            <w:szCs w:val="18"/>
          </w:rPr>
          <w:t>http://www.healthcareimprovementscotland.org/previous_resources/audit_report/osteoporotic_fractures_audit.aspx</w:t>
        </w:r>
      </w:hyperlink>
      <w:r w:rsidRPr="002D581D">
        <w:rPr>
          <w:rFonts w:ascii="Verdana" w:hAnsi="Verdana" w:cs="Arial"/>
          <w:sz w:val="18"/>
          <w:szCs w:val="18"/>
        </w:rPr>
        <w:t xml:space="preserve"> </w:t>
      </w:r>
      <w:r>
        <w:rPr>
          <w:rFonts w:ascii="Verdana" w:hAnsi="Verdana" w:cs="Arial"/>
          <w:sz w:val="18"/>
          <w:szCs w:val="18"/>
        </w:rPr>
        <w:t xml:space="preserve"> (accessed February 2020)</w:t>
      </w:r>
    </w:p>
  </w:endnote>
  <w:endnote w:id="26">
    <w:p w14:paraId="2C8C8B4E" w14:textId="77777777" w:rsidR="004678F8" w:rsidRDefault="004678F8" w:rsidP="004678F8">
      <w:pPr>
        <w:spacing w:before="60" w:after="60"/>
      </w:pPr>
      <w:r>
        <w:rPr>
          <w:rStyle w:val="EndnoteReference"/>
        </w:rPr>
        <w:endnoteRef/>
      </w:r>
      <w:r>
        <w:t xml:space="preserve"> </w:t>
      </w:r>
      <w:r w:rsidRPr="002D581D">
        <w:rPr>
          <w:rFonts w:ascii="Verdana" w:hAnsi="Verdana" w:cs="Arial"/>
          <w:sz w:val="18"/>
          <w:szCs w:val="18"/>
        </w:rPr>
        <w:t xml:space="preserve">McLellan AR, Reid DM, Forbes K et al., (2004) NHS Quality Improvement Scotland. </w:t>
      </w:r>
      <w:r w:rsidRPr="00561936">
        <w:rPr>
          <w:rFonts w:ascii="Verdana" w:hAnsi="Verdana" w:cs="Arial"/>
          <w:i/>
          <w:iCs/>
          <w:sz w:val="18"/>
          <w:szCs w:val="18"/>
        </w:rPr>
        <w:t>‘Effectiveness of Strategies for the Secondary Prevention of Osteoporotic Fractures in Scotland’</w:t>
      </w:r>
      <w:r w:rsidRPr="002D581D">
        <w:rPr>
          <w:rFonts w:ascii="Verdana" w:hAnsi="Verdana" w:cs="Arial"/>
          <w:sz w:val="18"/>
          <w:szCs w:val="18"/>
        </w:rPr>
        <w:t xml:space="preserve">. </w:t>
      </w:r>
      <w:r>
        <w:rPr>
          <w:rFonts w:ascii="Verdana" w:hAnsi="Verdana" w:cs="Arial"/>
          <w:sz w:val="18"/>
          <w:szCs w:val="18"/>
        </w:rPr>
        <w:t xml:space="preserve">Available at: </w:t>
      </w:r>
      <w:hyperlink r:id="rId18" w:history="1">
        <w:r w:rsidRPr="0089603E">
          <w:rPr>
            <w:rStyle w:val="Hyperlink"/>
            <w:rFonts w:ascii="Verdana" w:hAnsi="Verdana"/>
            <w:sz w:val="18"/>
            <w:szCs w:val="18"/>
          </w:rPr>
          <w:t>http://www.healthcareimprovementscotland.org/previous_resources/audit_report/osteoporotic_fractures_audit.aspx</w:t>
        </w:r>
      </w:hyperlink>
      <w:r w:rsidRPr="002D581D">
        <w:rPr>
          <w:rFonts w:ascii="Verdana" w:hAnsi="Verdana" w:cs="Arial"/>
          <w:sz w:val="18"/>
          <w:szCs w:val="18"/>
        </w:rPr>
        <w:t xml:space="preserve"> </w:t>
      </w:r>
      <w:r>
        <w:rPr>
          <w:rFonts w:ascii="Verdana" w:hAnsi="Verdana" w:cs="Arial"/>
          <w:sz w:val="18"/>
          <w:szCs w:val="18"/>
        </w:rPr>
        <w:t xml:space="preserve"> (accessed February 2020)</w:t>
      </w:r>
    </w:p>
  </w:endnote>
  <w:endnote w:id="27">
    <w:p w14:paraId="26C8F52C" w14:textId="77777777" w:rsidR="004678F8" w:rsidRPr="001326A9" w:rsidRDefault="004678F8" w:rsidP="004678F8">
      <w:pPr>
        <w:spacing w:before="60" w:after="60"/>
        <w:rPr>
          <w:rFonts w:ascii="Verdana" w:hAnsi="Verdana"/>
          <w:sz w:val="18"/>
          <w:szCs w:val="18"/>
        </w:rPr>
      </w:pPr>
      <w:r w:rsidRPr="001326A9">
        <w:rPr>
          <w:rStyle w:val="EndnoteReference"/>
          <w:rFonts w:ascii="Verdana" w:hAnsi="Verdana"/>
          <w:sz w:val="18"/>
          <w:szCs w:val="18"/>
        </w:rPr>
        <w:endnoteRef/>
      </w:r>
      <w:r w:rsidRPr="001326A9">
        <w:rPr>
          <w:rFonts w:ascii="Verdana" w:hAnsi="Verdana"/>
          <w:sz w:val="18"/>
          <w:szCs w:val="18"/>
        </w:rPr>
        <w:t xml:space="preserve"> </w:t>
      </w:r>
      <w:r w:rsidRPr="002D581D">
        <w:rPr>
          <w:rFonts w:ascii="Verdana" w:hAnsi="Verdana" w:cs="Arial"/>
          <w:sz w:val="18"/>
          <w:szCs w:val="18"/>
        </w:rPr>
        <w:t xml:space="preserve">McLellan AR, Reid DM, Forbes K et al., (2004) NHS Quality Improvement Scotland. </w:t>
      </w:r>
      <w:r w:rsidRPr="00561936">
        <w:rPr>
          <w:rFonts w:ascii="Verdana" w:hAnsi="Verdana" w:cs="Arial"/>
          <w:i/>
          <w:iCs/>
          <w:sz w:val="18"/>
          <w:szCs w:val="18"/>
        </w:rPr>
        <w:t>‘Effectiveness of Strategies for the Secondary Prevention of Osteoporotic Fractures in Scotland’</w:t>
      </w:r>
      <w:r w:rsidRPr="002D581D">
        <w:rPr>
          <w:rFonts w:ascii="Verdana" w:hAnsi="Verdana" w:cs="Arial"/>
          <w:sz w:val="18"/>
          <w:szCs w:val="18"/>
        </w:rPr>
        <w:t xml:space="preserve">. </w:t>
      </w:r>
      <w:r>
        <w:rPr>
          <w:rFonts w:ascii="Verdana" w:hAnsi="Verdana" w:cs="Arial"/>
          <w:sz w:val="18"/>
          <w:szCs w:val="18"/>
        </w:rPr>
        <w:t xml:space="preserve">Available at: </w:t>
      </w:r>
      <w:hyperlink r:id="rId19" w:history="1">
        <w:r w:rsidRPr="0089603E">
          <w:rPr>
            <w:rStyle w:val="Hyperlink"/>
            <w:rFonts w:ascii="Verdana" w:hAnsi="Verdana"/>
            <w:sz w:val="18"/>
            <w:szCs w:val="18"/>
          </w:rPr>
          <w:t>http://www.healthcareimprovementscotland.org/previous_resources/audit_report/osteoporotic_fractures_audit.aspx</w:t>
        </w:r>
      </w:hyperlink>
      <w:r w:rsidRPr="002D581D">
        <w:rPr>
          <w:rFonts w:ascii="Verdana" w:hAnsi="Verdana" w:cs="Arial"/>
          <w:sz w:val="18"/>
          <w:szCs w:val="18"/>
        </w:rPr>
        <w:t xml:space="preserve"> </w:t>
      </w:r>
      <w:r>
        <w:rPr>
          <w:rFonts w:ascii="Verdana" w:hAnsi="Verdana" w:cs="Arial"/>
          <w:sz w:val="18"/>
          <w:szCs w:val="18"/>
        </w:rPr>
        <w:t xml:space="preserve"> (accessed February 2020)</w:t>
      </w:r>
    </w:p>
  </w:endnote>
  <w:endnote w:id="28">
    <w:p w14:paraId="0672578E" w14:textId="77777777" w:rsidR="004678F8" w:rsidRPr="001326A9" w:rsidRDefault="004678F8" w:rsidP="004678F8">
      <w:pPr>
        <w:spacing w:before="60" w:after="60"/>
        <w:rPr>
          <w:rFonts w:ascii="Verdana" w:hAnsi="Verdana"/>
          <w:sz w:val="18"/>
          <w:szCs w:val="18"/>
        </w:rPr>
      </w:pPr>
      <w:r w:rsidRPr="001326A9">
        <w:rPr>
          <w:rStyle w:val="EndnoteReference"/>
          <w:rFonts w:ascii="Verdana" w:hAnsi="Verdana"/>
          <w:sz w:val="18"/>
          <w:szCs w:val="18"/>
        </w:rPr>
        <w:endnoteRef/>
      </w:r>
      <w:r w:rsidRPr="001326A9">
        <w:rPr>
          <w:rFonts w:ascii="Verdana" w:hAnsi="Verdana"/>
          <w:sz w:val="18"/>
          <w:szCs w:val="18"/>
        </w:rPr>
        <w:t xml:space="preserve"> </w:t>
      </w:r>
      <w:r w:rsidRPr="002D581D">
        <w:rPr>
          <w:rFonts w:ascii="Verdana" w:hAnsi="Verdana" w:cs="Arial"/>
          <w:sz w:val="18"/>
          <w:szCs w:val="18"/>
        </w:rPr>
        <w:t xml:space="preserve">McLellan AR, Reid DM, Forbes K et al., (2004) NHS Quality Improvement Scotland. </w:t>
      </w:r>
      <w:r w:rsidRPr="00561936">
        <w:rPr>
          <w:rFonts w:ascii="Verdana" w:hAnsi="Verdana" w:cs="Arial"/>
          <w:i/>
          <w:iCs/>
          <w:sz w:val="18"/>
          <w:szCs w:val="18"/>
        </w:rPr>
        <w:t>‘Effectiveness of Strategies for the Secondary Prevention of Osteoporotic Fractures in Scotland’</w:t>
      </w:r>
      <w:r w:rsidRPr="002D581D">
        <w:rPr>
          <w:rFonts w:ascii="Verdana" w:hAnsi="Verdana" w:cs="Arial"/>
          <w:sz w:val="18"/>
          <w:szCs w:val="18"/>
        </w:rPr>
        <w:t xml:space="preserve">. </w:t>
      </w:r>
      <w:r>
        <w:rPr>
          <w:rFonts w:ascii="Verdana" w:hAnsi="Verdana" w:cs="Arial"/>
          <w:sz w:val="18"/>
          <w:szCs w:val="18"/>
        </w:rPr>
        <w:t xml:space="preserve">Available at: </w:t>
      </w:r>
      <w:hyperlink r:id="rId20" w:history="1">
        <w:r w:rsidRPr="0089603E">
          <w:rPr>
            <w:rStyle w:val="Hyperlink"/>
            <w:rFonts w:ascii="Verdana" w:hAnsi="Verdana"/>
            <w:sz w:val="18"/>
            <w:szCs w:val="18"/>
          </w:rPr>
          <w:t>http://www.healthcareimprovementscotland.org/previous_resources/audit_report/osteoporotic_fractures_audit.aspx</w:t>
        </w:r>
      </w:hyperlink>
      <w:r w:rsidRPr="002D581D">
        <w:rPr>
          <w:rFonts w:ascii="Verdana" w:hAnsi="Verdana" w:cs="Arial"/>
          <w:sz w:val="18"/>
          <w:szCs w:val="18"/>
        </w:rPr>
        <w:t xml:space="preserve"> </w:t>
      </w:r>
      <w:r>
        <w:rPr>
          <w:rFonts w:ascii="Verdana" w:hAnsi="Verdana" w:cs="Arial"/>
          <w:sz w:val="18"/>
          <w:szCs w:val="18"/>
        </w:rPr>
        <w:t xml:space="preserve"> (accessed February 2020)</w:t>
      </w:r>
    </w:p>
  </w:endnote>
  <w:endnote w:id="29">
    <w:p w14:paraId="6B958965" w14:textId="77777777" w:rsidR="004678F8" w:rsidRPr="003632B0" w:rsidRDefault="004678F8" w:rsidP="004678F8">
      <w:pPr>
        <w:pStyle w:val="EndnoteText"/>
        <w:spacing w:before="60" w:after="60"/>
        <w:rPr>
          <w:rFonts w:ascii="Verdana" w:hAnsi="Verdana"/>
          <w:sz w:val="18"/>
          <w:szCs w:val="18"/>
        </w:rPr>
      </w:pPr>
      <w:r w:rsidRPr="003632B0">
        <w:rPr>
          <w:rStyle w:val="EndnoteReference"/>
          <w:rFonts w:ascii="Verdana" w:hAnsi="Verdana"/>
          <w:sz w:val="18"/>
          <w:szCs w:val="18"/>
        </w:rPr>
        <w:endnoteRef/>
      </w:r>
      <w:r w:rsidRPr="003632B0">
        <w:rPr>
          <w:rFonts w:ascii="Verdana" w:hAnsi="Verdana"/>
          <w:sz w:val="18"/>
          <w:szCs w:val="18"/>
        </w:rPr>
        <w:t xml:space="preserve"> </w:t>
      </w:r>
      <w:r w:rsidRPr="001326A9">
        <w:rPr>
          <w:rFonts w:ascii="Verdana" w:hAnsi="Verdana" w:cs="Arial"/>
          <w:sz w:val="18"/>
          <w:szCs w:val="18"/>
        </w:rPr>
        <w:t>Skelton D</w:t>
      </w:r>
      <w:r>
        <w:rPr>
          <w:rFonts w:ascii="Verdana" w:hAnsi="Verdana" w:cs="Arial"/>
          <w:sz w:val="18"/>
          <w:szCs w:val="18"/>
        </w:rPr>
        <w:t>,</w:t>
      </w:r>
      <w:r w:rsidRPr="001326A9">
        <w:rPr>
          <w:rFonts w:ascii="Verdana" w:hAnsi="Verdana" w:cs="Arial"/>
          <w:sz w:val="18"/>
          <w:szCs w:val="18"/>
        </w:rPr>
        <w:t xml:space="preserve"> Neil F (2009). </w:t>
      </w:r>
      <w:r w:rsidRPr="004A5FB6">
        <w:rPr>
          <w:rFonts w:ascii="Verdana" w:hAnsi="Verdana" w:cs="Arial"/>
          <w:i/>
          <w:iCs/>
          <w:sz w:val="18"/>
          <w:szCs w:val="18"/>
        </w:rPr>
        <w:t>‘NHS Greater Glasgow and Clyde Strategy for Osteoporosis and Falls Prevention 2006-2010: An evaluation 2007-2009’</w:t>
      </w:r>
      <w:r w:rsidRPr="001326A9">
        <w:rPr>
          <w:rFonts w:ascii="Verdana" w:hAnsi="Verdana" w:cs="Arial"/>
          <w:sz w:val="18"/>
          <w:szCs w:val="18"/>
        </w:rPr>
        <w:t>.</w:t>
      </w:r>
      <w:r>
        <w:rPr>
          <w:rFonts w:ascii="Verdana" w:hAnsi="Verdana" w:cs="Arial"/>
          <w:sz w:val="18"/>
          <w:szCs w:val="18"/>
        </w:rPr>
        <w:t xml:space="preserve"> Available at: </w:t>
      </w:r>
      <w:hyperlink r:id="rId21" w:history="1">
        <w:r w:rsidRPr="0005413C">
          <w:rPr>
            <w:rStyle w:val="Hyperlink"/>
            <w:rFonts w:ascii="Verdana" w:hAnsi="Verdana"/>
            <w:sz w:val="18"/>
            <w:szCs w:val="18"/>
          </w:rPr>
          <w:t>http://library.nhsggc.org.uk/mediaAssets/OFPS/NHSGGC%20Strategy%20for%20Osteoporosis%20and%20Falls%20Prevention%2020062010_An%20Evaluation_Skelton%20and%20Neil%202009.pdf</w:t>
        </w:r>
      </w:hyperlink>
      <w:r>
        <w:rPr>
          <w:rFonts w:ascii="Verdana" w:hAnsi="Verdana"/>
          <w:sz w:val="18"/>
          <w:szCs w:val="18"/>
        </w:rPr>
        <w:t xml:space="preserve">  (accessed March 2020)</w:t>
      </w:r>
    </w:p>
  </w:endnote>
  <w:endnote w:id="30">
    <w:p w14:paraId="62C4EB57" w14:textId="77777777" w:rsidR="004678F8" w:rsidRPr="001326A9" w:rsidRDefault="004678F8" w:rsidP="004678F8">
      <w:pPr>
        <w:spacing w:before="60" w:after="60"/>
        <w:rPr>
          <w:rFonts w:ascii="Verdana" w:hAnsi="Verdana"/>
          <w:sz w:val="18"/>
          <w:szCs w:val="18"/>
        </w:rPr>
      </w:pPr>
      <w:r w:rsidRPr="001326A9">
        <w:rPr>
          <w:rStyle w:val="EndnoteReference"/>
          <w:rFonts w:ascii="Verdana" w:hAnsi="Verdana"/>
          <w:sz w:val="18"/>
          <w:szCs w:val="18"/>
        </w:rPr>
        <w:endnoteRef/>
      </w:r>
      <w:r w:rsidRPr="001326A9">
        <w:rPr>
          <w:rFonts w:ascii="Verdana" w:hAnsi="Verdana"/>
          <w:sz w:val="18"/>
          <w:szCs w:val="18"/>
        </w:rPr>
        <w:t xml:space="preserve"> Royal Osteoporosis Society FLS Benefits Calculator available at: </w:t>
      </w:r>
      <w:hyperlink r:id="rId22" w:history="1">
        <w:r w:rsidRPr="001326A9">
          <w:rPr>
            <w:rStyle w:val="Hyperlink"/>
            <w:rFonts w:ascii="Verdana" w:hAnsi="Verdana"/>
            <w:sz w:val="18"/>
            <w:szCs w:val="18"/>
          </w:rPr>
          <w:t>https://theros.org.uk/healthcare-professionals/fracture-liaison-services/implementation-toolkit/</w:t>
        </w:r>
      </w:hyperlink>
    </w:p>
  </w:endnote>
  <w:endnote w:id="31">
    <w:p w14:paraId="378547FD" w14:textId="77777777" w:rsidR="004678F8" w:rsidRPr="00250DE6" w:rsidRDefault="004678F8" w:rsidP="004678F8">
      <w:pPr>
        <w:pStyle w:val="EndnoteText"/>
        <w:spacing w:after="200"/>
        <w:rPr>
          <w:rFonts w:ascii="Verdana" w:hAnsi="Verdana"/>
          <w:sz w:val="18"/>
          <w:szCs w:val="18"/>
        </w:rPr>
      </w:pPr>
      <w:r>
        <w:rPr>
          <w:rStyle w:val="EndnoteReference"/>
        </w:rPr>
        <w:endnoteRef/>
      </w:r>
      <w:r>
        <w:t xml:space="preserve"> </w:t>
      </w:r>
      <w:r w:rsidRPr="001326A9">
        <w:rPr>
          <w:rFonts w:ascii="Verdana" w:hAnsi="Verdana"/>
          <w:sz w:val="18"/>
          <w:szCs w:val="18"/>
        </w:rPr>
        <w:t>McLellan AR</w:t>
      </w:r>
      <w:r>
        <w:rPr>
          <w:rFonts w:ascii="Verdana" w:hAnsi="Verdana"/>
          <w:sz w:val="18"/>
          <w:szCs w:val="18"/>
        </w:rPr>
        <w:t xml:space="preserve">, Wolowacz SE, Zimovetz EA, Beard SM, Lock S, McCrink L, Adekunle F, Roberts D </w:t>
      </w:r>
      <w:r w:rsidRPr="001326A9">
        <w:rPr>
          <w:rFonts w:ascii="Verdana" w:hAnsi="Verdana"/>
          <w:sz w:val="18"/>
          <w:szCs w:val="18"/>
        </w:rPr>
        <w:t xml:space="preserve"> (2011) </w:t>
      </w:r>
      <w:r w:rsidRPr="00A2461A">
        <w:rPr>
          <w:rFonts w:ascii="Verdana" w:hAnsi="Verdana"/>
          <w:i/>
          <w:iCs/>
          <w:sz w:val="18"/>
          <w:szCs w:val="18"/>
        </w:rPr>
        <w:t>‘Fracture Liaison Services for the evaluation and management of patients with osteoporotic fracture: a cost effective evaluation based on data collected over 8 years of service provision’</w:t>
      </w:r>
      <w:r w:rsidRPr="001326A9">
        <w:rPr>
          <w:rFonts w:ascii="Verdana" w:hAnsi="Verdana"/>
          <w:sz w:val="18"/>
          <w:szCs w:val="18"/>
        </w:rPr>
        <w:t xml:space="preserve">. </w:t>
      </w:r>
      <w:r w:rsidRPr="008F0828">
        <w:rPr>
          <w:rFonts w:ascii="Verdana" w:hAnsi="Verdana"/>
          <w:iCs/>
          <w:sz w:val="18"/>
          <w:szCs w:val="18"/>
        </w:rPr>
        <w:t>Osteoporosis Int</w:t>
      </w:r>
      <w:r>
        <w:rPr>
          <w:rFonts w:ascii="Verdana" w:hAnsi="Verdana"/>
          <w:iCs/>
          <w:sz w:val="18"/>
          <w:szCs w:val="18"/>
        </w:rPr>
        <w:t>ernational</w:t>
      </w:r>
      <w:r w:rsidRPr="001326A9">
        <w:rPr>
          <w:rFonts w:ascii="Verdana" w:hAnsi="Verdana"/>
          <w:sz w:val="18"/>
          <w:szCs w:val="18"/>
        </w:rPr>
        <w:t xml:space="preserve"> 22</w:t>
      </w:r>
      <w:r>
        <w:rPr>
          <w:rFonts w:ascii="Verdana" w:hAnsi="Verdana"/>
          <w:sz w:val="18"/>
          <w:szCs w:val="18"/>
        </w:rPr>
        <w:t>(7), pp</w:t>
      </w:r>
      <w:r w:rsidRPr="001326A9">
        <w:rPr>
          <w:rFonts w:ascii="Verdana" w:hAnsi="Verdana"/>
          <w:sz w:val="18"/>
          <w:szCs w:val="18"/>
        </w:rPr>
        <w:t>2083–</w:t>
      </w:r>
      <w:r>
        <w:rPr>
          <w:rFonts w:ascii="Verdana" w:hAnsi="Verdana"/>
          <w:sz w:val="18"/>
          <w:szCs w:val="18"/>
        </w:rPr>
        <w:t>20</w:t>
      </w:r>
      <w:r w:rsidRPr="001326A9">
        <w:rPr>
          <w:rFonts w:ascii="Verdana" w:hAnsi="Verdana"/>
          <w:sz w:val="18"/>
          <w:szCs w:val="18"/>
        </w:rPr>
        <w:t>98</w:t>
      </w:r>
    </w:p>
  </w:endnote>
  <w:endnote w:id="32">
    <w:p w14:paraId="41B00746" w14:textId="42FEF5F8" w:rsidR="00B40477" w:rsidRPr="003632B0" w:rsidRDefault="00B40477" w:rsidP="00293551">
      <w:pPr>
        <w:pStyle w:val="Default"/>
        <w:spacing w:after="200"/>
        <w:rPr>
          <w:rFonts w:ascii="Verdana" w:hAnsi="Verdana"/>
          <w:sz w:val="18"/>
          <w:szCs w:val="18"/>
        </w:rPr>
      </w:pPr>
      <w:r w:rsidRPr="003632B0">
        <w:rPr>
          <w:rStyle w:val="EndnoteReference"/>
          <w:rFonts w:ascii="Verdana" w:hAnsi="Verdana"/>
          <w:sz w:val="18"/>
          <w:szCs w:val="18"/>
        </w:rPr>
        <w:endnoteRef/>
      </w:r>
      <w:r w:rsidRPr="003632B0">
        <w:rPr>
          <w:rFonts w:ascii="Verdana" w:hAnsi="Verdana"/>
          <w:sz w:val="18"/>
          <w:szCs w:val="18"/>
        </w:rPr>
        <w:t xml:space="preserve"> </w:t>
      </w:r>
      <w:r w:rsidR="00293551" w:rsidRPr="001326A9">
        <w:rPr>
          <w:rFonts w:ascii="Verdana" w:hAnsi="Verdana"/>
          <w:sz w:val="18"/>
          <w:szCs w:val="18"/>
        </w:rPr>
        <w:t>Public Health England</w:t>
      </w:r>
      <w:r w:rsidR="00293551">
        <w:rPr>
          <w:rFonts w:ascii="Verdana" w:hAnsi="Verdana"/>
          <w:sz w:val="18"/>
          <w:szCs w:val="18"/>
        </w:rPr>
        <w:t xml:space="preserve"> (2017)</w:t>
      </w:r>
      <w:r w:rsidR="00293551" w:rsidRPr="001326A9">
        <w:rPr>
          <w:rFonts w:ascii="Verdana" w:hAnsi="Verdana"/>
          <w:sz w:val="18"/>
          <w:szCs w:val="18"/>
        </w:rPr>
        <w:t xml:space="preserve"> </w:t>
      </w:r>
      <w:r w:rsidR="00293551" w:rsidRPr="004310DB">
        <w:rPr>
          <w:rFonts w:ascii="Verdana" w:hAnsi="Verdana"/>
          <w:i/>
          <w:iCs/>
          <w:sz w:val="18"/>
          <w:szCs w:val="18"/>
        </w:rPr>
        <w:t>‘</w:t>
      </w:r>
      <w:r w:rsidR="00293551" w:rsidRPr="004310DB">
        <w:rPr>
          <w:rFonts w:ascii="Verdana" w:hAnsi="Verdana"/>
          <w:bCs/>
          <w:i/>
          <w:iCs/>
          <w:sz w:val="18"/>
          <w:szCs w:val="18"/>
        </w:rPr>
        <w:t>Falls and fracture consensus statement:</w:t>
      </w:r>
      <w:r w:rsidR="00293551" w:rsidRPr="004310DB">
        <w:rPr>
          <w:rFonts w:ascii="Verdana" w:hAnsi="Verdana"/>
          <w:b/>
          <w:bCs/>
          <w:i/>
          <w:iCs/>
          <w:sz w:val="18"/>
          <w:szCs w:val="18"/>
        </w:rPr>
        <w:t xml:space="preserve"> </w:t>
      </w:r>
      <w:r w:rsidR="00293551" w:rsidRPr="004310DB">
        <w:rPr>
          <w:rFonts w:ascii="Verdana" w:hAnsi="Verdana"/>
          <w:i/>
          <w:iCs/>
          <w:sz w:val="18"/>
          <w:szCs w:val="18"/>
        </w:rPr>
        <w:t>Supporting commissioning for prevention’</w:t>
      </w:r>
      <w:r w:rsidR="00293551">
        <w:rPr>
          <w:rFonts w:ascii="Verdana" w:hAnsi="Verdana"/>
          <w:i/>
          <w:iCs/>
          <w:sz w:val="18"/>
          <w:szCs w:val="18"/>
        </w:rPr>
        <w:t xml:space="preserve"> </w:t>
      </w:r>
      <w:r w:rsidR="00293551">
        <w:rPr>
          <w:rFonts w:ascii="Verdana" w:hAnsi="Verdana"/>
          <w:sz w:val="18"/>
          <w:szCs w:val="18"/>
        </w:rPr>
        <w:t xml:space="preserve">Available at: </w:t>
      </w:r>
      <w:hyperlink r:id="rId23" w:history="1">
        <w:r w:rsidR="00293551" w:rsidRPr="00987F4C">
          <w:rPr>
            <w:rStyle w:val="Hyperlink"/>
            <w:rFonts w:ascii="Verdana" w:hAnsi="Verdana"/>
            <w:sz w:val="18"/>
            <w:szCs w:val="18"/>
          </w:rPr>
          <w:t>https://assets.publishing.service.gov.uk/government/uploads/system/uploads/attachment_data/file/586382/falls_and_fractures_consensus_statement.pdf</w:t>
        </w:r>
      </w:hyperlink>
      <w:r w:rsidR="00293551">
        <w:rPr>
          <w:rFonts w:ascii="Verdana" w:hAnsi="Verdana"/>
          <w:sz w:val="18"/>
          <w:szCs w:val="18"/>
        </w:rPr>
        <w:t xml:space="preserve"> (accessed March 2020)</w:t>
      </w:r>
    </w:p>
  </w:endnote>
  <w:endnote w:id="33">
    <w:p w14:paraId="78967631" w14:textId="72E63169" w:rsidR="00310D5A" w:rsidRPr="00B4626C" w:rsidRDefault="00310D5A" w:rsidP="00B4626C">
      <w:pPr>
        <w:pStyle w:val="EndnoteText"/>
        <w:spacing w:before="60" w:after="60"/>
        <w:rPr>
          <w:rFonts w:ascii="Verdana" w:hAnsi="Verdana"/>
          <w:sz w:val="18"/>
          <w:szCs w:val="18"/>
        </w:rPr>
      </w:pPr>
      <w:r>
        <w:rPr>
          <w:rStyle w:val="EndnoteReference"/>
        </w:rPr>
        <w:endnoteRef/>
      </w:r>
      <w:r>
        <w:t xml:space="preserve"> </w:t>
      </w:r>
      <w:r w:rsidR="00B4626C">
        <w:rPr>
          <w:rFonts w:ascii="Verdana" w:hAnsi="Verdana"/>
          <w:sz w:val="18"/>
          <w:szCs w:val="18"/>
        </w:rPr>
        <w:t xml:space="preserve">NHS RightCare (2017) </w:t>
      </w:r>
      <w:r w:rsidR="00B4626C">
        <w:rPr>
          <w:rFonts w:ascii="Verdana" w:hAnsi="Verdana"/>
          <w:i/>
          <w:iCs/>
          <w:sz w:val="18"/>
          <w:szCs w:val="18"/>
        </w:rPr>
        <w:t>‘</w:t>
      </w:r>
      <w:r w:rsidR="00B4626C" w:rsidRPr="00CF7822">
        <w:rPr>
          <w:rFonts w:ascii="Verdana" w:hAnsi="Verdana"/>
          <w:i/>
          <w:iCs/>
          <w:sz w:val="18"/>
          <w:szCs w:val="18"/>
        </w:rPr>
        <w:t>RightCare Pathway: Falls and Fragility Fractures</w:t>
      </w:r>
      <w:r w:rsidR="00B4626C">
        <w:rPr>
          <w:rFonts w:ascii="Verdana" w:hAnsi="Verdana"/>
          <w:i/>
          <w:iCs/>
          <w:sz w:val="18"/>
          <w:szCs w:val="18"/>
        </w:rPr>
        <w:t>’</w:t>
      </w:r>
      <w:r w:rsidR="00B4626C">
        <w:rPr>
          <w:rFonts w:ascii="Verdana" w:hAnsi="Verdana"/>
          <w:sz w:val="18"/>
          <w:szCs w:val="18"/>
        </w:rPr>
        <w:t xml:space="preserve">  </w:t>
      </w:r>
      <w:hyperlink r:id="rId24" w:history="1">
        <w:r w:rsidR="00B4626C" w:rsidRPr="00571956">
          <w:rPr>
            <w:rStyle w:val="Hyperlink"/>
            <w:rFonts w:ascii="Verdana" w:hAnsi="Verdana"/>
            <w:sz w:val="18"/>
            <w:szCs w:val="18"/>
          </w:rPr>
          <w:t>https://www.england.nhs.uk/rightcare/wp-content/uploads/sites/40/2017/12/falls-fragility-fractures-pathway-v18.pdf</w:t>
        </w:r>
      </w:hyperlink>
      <w:r w:rsidR="00B4626C">
        <w:rPr>
          <w:rFonts w:ascii="Verdana" w:hAnsi="Verdana"/>
          <w:sz w:val="18"/>
          <w:szCs w:val="18"/>
        </w:rPr>
        <w:t xml:space="preserve"> (accessed March 2020)</w:t>
      </w:r>
    </w:p>
  </w:endnote>
  <w:endnote w:id="34">
    <w:p w14:paraId="6A220F70" w14:textId="106660F9" w:rsidR="00AC2223" w:rsidRPr="00BD5BC9" w:rsidRDefault="00AC2223" w:rsidP="00F242E4">
      <w:pPr>
        <w:spacing w:after="0"/>
        <w:rPr>
          <w:rFonts w:ascii="Verdana" w:hAnsi="Verdana"/>
          <w:sz w:val="18"/>
          <w:szCs w:val="18"/>
        </w:rPr>
      </w:pPr>
      <w:r w:rsidRPr="001326A9">
        <w:rPr>
          <w:rStyle w:val="EndnoteReference"/>
          <w:rFonts w:ascii="Verdana" w:hAnsi="Verdana"/>
          <w:sz w:val="18"/>
          <w:szCs w:val="18"/>
        </w:rPr>
        <w:endnoteRef/>
      </w:r>
      <w:r w:rsidRPr="001326A9">
        <w:rPr>
          <w:rFonts w:ascii="Verdana" w:hAnsi="Verdana"/>
          <w:sz w:val="18"/>
          <w:szCs w:val="18"/>
        </w:rPr>
        <w:t xml:space="preserve"> </w:t>
      </w:r>
      <w:r w:rsidRPr="001326A9">
        <w:rPr>
          <w:rFonts w:ascii="Verdana" w:hAnsi="Verdana" w:cs="Arial"/>
          <w:sz w:val="18"/>
          <w:szCs w:val="18"/>
        </w:rPr>
        <w:t xml:space="preserve">Fracture Liaison Service Database: Leading FLS improvement: secondary fracture prevention in the NHS. Annual Report October, 2017. Royal College of Physicians. Falls and Fragility Fracture Audit Programme. </w:t>
      </w:r>
    </w:p>
  </w:endnote>
  <w:endnote w:id="35">
    <w:p w14:paraId="56D51635" w14:textId="1E1B70DA" w:rsidR="007A5A51" w:rsidRDefault="007A5A51">
      <w:pPr>
        <w:pStyle w:val="EndnoteText"/>
      </w:pPr>
      <w:r>
        <w:rPr>
          <w:rStyle w:val="EndnoteReference"/>
        </w:rPr>
        <w:endnoteRef/>
      </w:r>
      <w:r>
        <w:t xml:space="preserve"> </w:t>
      </w:r>
      <w:r w:rsidRPr="0065397D">
        <w:rPr>
          <w:rFonts w:ascii="Verdana" w:hAnsi="Verdana"/>
          <w:sz w:val="18"/>
          <w:szCs w:val="18"/>
        </w:rPr>
        <w:t>Professional Record Standards Body</w:t>
      </w:r>
      <w:r w:rsidR="0034190F">
        <w:rPr>
          <w:rFonts w:ascii="Verdana" w:hAnsi="Verdana"/>
          <w:sz w:val="18"/>
          <w:szCs w:val="18"/>
        </w:rPr>
        <w:t>:</w:t>
      </w:r>
      <w:r w:rsidRPr="0065397D">
        <w:rPr>
          <w:rFonts w:ascii="Verdana" w:hAnsi="Verdana"/>
          <w:sz w:val="18"/>
          <w:szCs w:val="18"/>
        </w:rPr>
        <w:t xml:space="preserve"> guidance for out-patient letters</w:t>
      </w:r>
      <w:r w:rsidR="0065397D" w:rsidRPr="0065397D">
        <w:rPr>
          <w:rFonts w:ascii="Verdana" w:hAnsi="Verdana"/>
          <w:sz w:val="18"/>
          <w:szCs w:val="18"/>
        </w:rPr>
        <w:t xml:space="preserve">. Available at: </w:t>
      </w:r>
      <w:hyperlink r:id="rId25" w:history="1">
        <w:r w:rsidR="0065397D" w:rsidRPr="0065397D">
          <w:rPr>
            <w:rStyle w:val="Hyperlink"/>
            <w:rFonts w:ascii="Verdana" w:hAnsi="Verdana"/>
            <w:sz w:val="18"/>
            <w:szCs w:val="18"/>
          </w:rPr>
          <w:t>https://theprsb.org/wp-content/uploads/2018/07/Outpatient-Letter-Standard-Maintenance-Release-Implementation-Guidance-Report-.pdf</w:t>
        </w:r>
      </w:hyperlink>
      <w:r w:rsidR="0065397D" w:rsidRPr="0065397D">
        <w:rPr>
          <w:rFonts w:ascii="Verdana" w:hAnsi="Verdana"/>
          <w:sz w:val="18"/>
          <w:szCs w:val="18"/>
        </w:rPr>
        <w:t xml:space="preserve">  (Accessed July 2020).</w:t>
      </w:r>
      <w:r w:rsidR="0065397D">
        <w:t xml:space="preserve"> </w:t>
      </w:r>
    </w:p>
  </w:endnote>
  <w:endnote w:id="36">
    <w:p w14:paraId="7045D156" w14:textId="325FBDAC" w:rsidR="00381692" w:rsidRDefault="00381692">
      <w:pPr>
        <w:pStyle w:val="EndnoteText"/>
      </w:pPr>
      <w:r>
        <w:rPr>
          <w:rStyle w:val="EndnoteReference"/>
        </w:rPr>
        <w:endnoteRef/>
      </w:r>
      <w:r>
        <w:t xml:space="preserve"> </w:t>
      </w:r>
      <w:r w:rsidRPr="0065397D">
        <w:rPr>
          <w:rFonts w:ascii="Verdana" w:hAnsi="Verdana"/>
          <w:sz w:val="18"/>
          <w:szCs w:val="18"/>
        </w:rPr>
        <w:t>Professional Record Standards Body</w:t>
      </w:r>
      <w:r>
        <w:rPr>
          <w:rFonts w:ascii="Verdana" w:hAnsi="Verdana"/>
          <w:sz w:val="18"/>
          <w:szCs w:val="18"/>
        </w:rPr>
        <w:t>:</w:t>
      </w:r>
      <w:r w:rsidRPr="0065397D">
        <w:rPr>
          <w:rFonts w:ascii="Verdana" w:hAnsi="Verdana"/>
          <w:sz w:val="18"/>
          <w:szCs w:val="18"/>
        </w:rPr>
        <w:t xml:space="preserve"> guidance for out-patient letters. Available at: </w:t>
      </w:r>
      <w:hyperlink r:id="rId26" w:history="1">
        <w:r w:rsidRPr="0065397D">
          <w:rPr>
            <w:rStyle w:val="Hyperlink"/>
            <w:rFonts w:ascii="Verdana" w:hAnsi="Verdana"/>
            <w:sz w:val="18"/>
            <w:szCs w:val="18"/>
          </w:rPr>
          <w:t>https://theprsb.org/wp-content/uploads/2018/07/Outpatient-Letter-Standard-Maintenance-Release-Implementation-Guidance-Report-.pdf</w:t>
        </w:r>
      </w:hyperlink>
      <w:r w:rsidRPr="0065397D">
        <w:rPr>
          <w:rFonts w:ascii="Verdana" w:hAnsi="Verdana"/>
          <w:sz w:val="18"/>
          <w:szCs w:val="18"/>
        </w:rPr>
        <w:t xml:space="preserve">  (Accessed July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ntax">
    <w:altName w:val="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ileron SemiBold">
    <w:panose1 w:val="00000000000000000000"/>
    <w:charset w:val="00"/>
    <w:family w:val="modern"/>
    <w:notTrueType/>
    <w:pitch w:val="variable"/>
    <w:sig w:usb0="00000007" w:usb1="00000000" w:usb2="00000000" w:usb3="00000000" w:csb0="00000093" w:csb1="00000000"/>
  </w:font>
  <w:font w:name="HelveticaNeueLT Std Lt">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OpenSans-Light">
    <w:altName w:val="Yu Gothic"/>
    <w:panose1 w:val="00000000000000000000"/>
    <w:charset w:val="80"/>
    <w:family w:val="auto"/>
    <w:notTrueType/>
    <w:pitch w:val="default"/>
    <w:sig w:usb0="00000001" w:usb1="08070000" w:usb2="00000010" w:usb3="00000000" w:csb0="00020000" w:csb1="00000000"/>
  </w:font>
  <w:font w:name="OpenSans-Semibold">
    <w:altName w:val="Calibri"/>
    <w:panose1 w:val="00000000000000000000"/>
    <w:charset w:val="00"/>
    <w:family w:val="swiss"/>
    <w:notTrueType/>
    <w:pitch w:val="default"/>
    <w:sig w:usb0="00000003" w:usb1="00000000" w:usb2="00000000" w:usb3="00000000" w:csb0="00000001" w:csb1="00000000"/>
  </w:font>
  <w:font w:name="AdvOT9476842c">
    <w:altName w:val="Cambria"/>
    <w:panose1 w:val="00000000000000000000"/>
    <w:charset w:val="00"/>
    <w:family w:val="roman"/>
    <w:notTrueType/>
    <w:pitch w:val="default"/>
    <w:sig w:usb0="00000003" w:usb1="00000000" w:usb2="00000000" w:usb3="00000000" w:csb0="00000001" w:csb1="00000000"/>
  </w:font>
  <w:font w:name="AdvOTe510cf62.B">
    <w:altName w:val="Cambria"/>
    <w:panose1 w:val="00000000000000000000"/>
    <w:charset w:val="00"/>
    <w:family w:val="roman"/>
    <w:notTrueType/>
    <w:pitch w:val="default"/>
    <w:sig w:usb0="00000003" w:usb1="00000000" w:usb2="00000000" w:usb3="00000000" w:csb0="00000001" w:csb1="00000000"/>
  </w:font>
  <w:font w:name="AdvOTb9f64e59.I">
    <w:altName w:val="Cambria"/>
    <w:panose1 w:val="00000000000000000000"/>
    <w:charset w:val="00"/>
    <w:family w:val="roman"/>
    <w:notTrueType/>
    <w:pitch w:val="default"/>
    <w:sig w:usb0="00000003" w:usb1="00000000" w:usb2="00000000" w:usb3="00000000" w:csb0="00000001" w:csb1="00000000"/>
  </w:font>
  <w:font w:name="AdvTT378de93d+2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FE496" w14:textId="1889098D" w:rsidR="002F75E4" w:rsidRPr="00D61E89" w:rsidRDefault="002F75E4">
    <w:pPr>
      <w:pStyle w:val="Footer"/>
      <w:rPr>
        <w:rFonts w:ascii="Verdana" w:hAnsi="Verdana"/>
        <w:sz w:val="18"/>
      </w:rPr>
    </w:pPr>
    <w:r>
      <w:rPr>
        <w:rFonts w:ascii="Verdana" w:hAnsi="Verdana"/>
        <w:sz w:val="18"/>
      </w:rPr>
      <w:t>FLS Service Specification</w:t>
    </w:r>
    <w:r w:rsidRPr="00D61E89">
      <w:rPr>
        <w:rFonts w:ascii="Verdana" w:hAnsi="Verdana"/>
        <w:sz w:val="18"/>
      </w:rPr>
      <w:ptab w:relativeTo="margin" w:alignment="center" w:leader="none"/>
    </w:r>
    <w:r w:rsidRPr="00D61E89">
      <w:rPr>
        <w:rFonts w:ascii="Verdana" w:hAnsi="Verdana"/>
        <w:sz w:val="18"/>
      </w:rPr>
      <w:fldChar w:fldCharType="begin"/>
    </w:r>
    <w:r w:rsidRPr="00D61E89">
      <w:rPr>
        <w:rFonts w:ascii="Verdana" w:hAnsi="Verdana"/>
        <w:sz w:val="18"/>
      </w:rPr>
      <w:instrText xml:space="preserve"> PAGE   \* MERGEFORMAT </w:instrText>
    </w:r>
    <w:r w:rsidRPr="00D61E89">
      <w:rPr>
        <w:rFonts w:ascii="Verdana" w:hAnsi="Verdana"/>
        <w:sz w:val="18"/>
      </w:rPr>
      <w:fldChar w:fldCharType="separate"/>
    </w:r>
    <w:r w:rsidRPr="00D61E89">
      <w:rPr>
        <w:rFonts w:ascii="Verdana" w:hAnsi="Verdana"/>
        <w:noProof/>
        <w:sz w:val="18"/>
      </w:rPr>
      <w:t>1</w:t>
    </w:r>
    <w:r w:rsidRPr="00D61E89">
      <w:rPr>
        <w:rFonts w:ascii="Verdana" w:hAnsi="Verdana"/>
        <w:noProof/>
        <w:sz w:val="18"/>
      </w:rPr>
      <w:fldChar w:fldCharType="end"/>
    </w:r>
    <w:r w:rsidRPr="00D61E89">
      <w:rPr>
        <w:rFonts w:ascii="Verdana" w:hAnsi="Verdana"/>
        <w:sz w:val="18"/>
      </w:rPr>
      <w:ptab w:relativeTo="margin" w:alignment="right" w:leader="none"/>
    </w:r>
    <w:r w:rsidR="006A67F4">
      <w:rPr>
        <w:rFonts w:ascii="Verdana" w:hAnsi="Verdana"/>
        <w:sz w:val="18"/>
      </w:rPr>
      <w:t>July</w:t>
    </w:r>
    <w:r>
      <w:rPr>
        <w:rFonts w:ascii="Verdana" w:hAnsi="Verdana"/>
        <w:sz w:val="18"/>
      </w:rPr>
      <w:t xml:space="preserve"> 2020 v</w:t>
    </w:r>
    <w:r w:rsidR="00083C1A">
      <w:rPr>
        <w:rFonts w:ascii="Verdana" w:hAnsi="Verdana"/>
        <w:sz w:val="18"/>
      </w:rPr>
      <w:t>1</w:t>
    </w:r>
    <w:r w:rsidR="00FB36DE">
      <w:rPr>
        <w:rFonts w:ascii="Verdana" w:hAnsi="Verdana"/>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3D8D9" w14:textId="77777777" w:rsidR="001E69B3" w:rsidRDefault="001E69B3" w:rsidP="00443B52">
      <w:pPr>
        <w:spacing w:after="0"/>
      </w:pPr>
      <w:r>
        <w:separator/>
      </w:r>
    </w:p>
  </w:footnote>
  <w:footnote w:type="continuationSeparator" w:id="0">
    <w:p w14:paraId="09AA68D7" w14:textId="77777777" w:rsidR="001E69B3" w:rsidRDefault="001E69B3" w:rsidP="00443B52">
      <w:pPr>
        <w:spacing w:after="0"/>
      </w:pPr>
      <w:r>
        <w:continuationSeparator/>
      </w:r>
    </w:p>
  </w:footnote>
  <w:footnote w:type="continuationNotice" w:id="1">
    <w:p w14:paraId="227A11D9" w14:textId="77777777" w:rsidR="001E69B3" w:rsidRDefault="001E69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FD98" w14:textId="5E18C42D" w:rsidR="002F75E4" w:rsidRPr="00336D0A" w:rsidRDefault="002F75E4" w:rsidP="00336D0A">
    <w:pPr>
      <w:pStyle w:val="Header"/>
      <w:jc w:val="center"/>
      <w:rPr>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2BAE"/>
    <w:multiLevelType w:val="hybridMultilevel"/>
    <w:tmpl w:val="7A20980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30977"/>
    <w:multiLevelType w:val="multilevel"/>
    <w:tmpl w:val="7934520E"/>
    <w:lvl w:ilvl="0">
      <w:start w:val="1"/>
      <w:numFmt w:val="decimal"/>
      <w:pStyle w:val="MMCallout1"/>
      <w:suff w:val="space"/>
      <w:lvlText w:val="="/>
      <w:lvlJc w:val="left"/>
      <w:pPr>
        <w:ind w:left="200" w:hanging="200"/>
      </w:pPr>
      <w:rPr>
        <w:rFonts w:ascii="Webdings" w:hAnsi="Webdings"/>
        <w:sz w:val="16"/>
      </w:rPr>
    </w:lvl>
    <w:lvl w:ilvl="1">
      <w:start w:val="8"/>
      <w:numFmt w:val="bullet"/>
      <w:lvlText w:val="•"/>
      <w:lvlJc w:val="left"/>
      <w:pPr>
        <w:ind w:left="1440" w:hanging="360"/>
      </w:pPr>
      <w:rPr>
        <w:rFonts w:ascii="Cambria" w:eastAsia="Times New Roman" w:hAnsi="Cambria" w:cs="Times New Roman" w:hint="default"/>
      </w:rPr>
    </w:lvl>
    <w:lvl w:ilvl="2">
      <w:start w:val="1"/>
      <w:numFmt w:val="decimal"/>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4087997"/>
    <w:multiLevelType w:val="hybridMultilevel"/>
    <w:tmpl w:val="09F45A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95597A"/>
    <w:multiLevelType w:val="multilevel"/>
    <w:tmpl w:val="BCA23CAA"/>
    <w:lvl w:ilvl="0">
      <w:start w:val="1"/>
      <w:numFmt w:val="decimal"/>
      <w:lvlText w:val="%1"/>
      <w:lvlJc w:val="left"/>
      <w:pPr>
        <w:ind w:left="360" w:hanging="360"/>
      </w:pPr>
      <w:rPr>
        <w:rFonts w:hint="default"/>
      </w:rPr>
    </w:lvl>
    <w:lvl w:ilvl="1">
      <w:start w:val="1"/>
      <w:numFmt w:val="decimal"/>
      <w:pStyle w:val="Sub-heading"/>
      <w:lvlText w:val="%1.%2"/>
      <w:lvlJc w:val="left"/>
      <w:pPr>
        <w:ind w:left="360" w:hanging="360"/>
      </w:pPr>
      <w:rPr>
        <w:rFonts w:ascii="Verdana" w:hAnsi="Verdana" w:cs="Arial"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665589"/>
    <w:multiLevelType w:val="hybridMultilevel"/>
    <w:tmpl w:val="29D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E84408"/>
    <w:multiLevelType w:val="hybridMultilevel"/>
    <w:tmpl w:val="2E9A47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C32EF3"/>
    <w:multiLevelType w:val="hybridMultilevel"/>
    <w:tmpl w:val="A6CC873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83"/>
    <w:rsid w:val="0000150C"/>
    <w:rsid w:val="00005245"/>
    <w:rsid w:val="00006093"/>
    <w:rsid w:val="00006C33"/>
    <w:rsid w:val="00007912"/>
    <w:rsid w:val="000108E9"/>
    <w:rsid w:val="00012AE3"/>
    <w:rsid w:val="00015BE0"/>
    <w:rsid w:val="00020698"/>
    <w:rsid w:val="00022428"/>
    <w:rsid w:val="00022E07"/>
    <w:rsid w:val="00024C7F"/>
    <w:rsid w:val="00024C8C"/>
    <w:rsid w:val="00025C7C"/>
    <w:rsid w:val="00030674"/>
    <w:rsid w:val="000310DB"/>
    <w:rsid w:val="00031695"/>
    <w:rsid w:val="0003217B"/>
    <w:rsid w:val="00032628"/>
    <w:rsid w:val="00033F80"/>
    <w:rsid w:val="00034BFC"/>
    <w:rsid w:val="00036E42"/>
    <w:rsid w:val="00037405"/>
    <w:rsid w:val="00040056"/>
    <w:rsid w:val="00040C4D"/>
    <w:rsid w:val="00042A9F"/>
    <w:rsid w:val="00045F2C"/>
    <w:rsid w:val="000478AD"/>
    <w:rsid w:val="0005011B"/>
    <w:rsid w:val="00051C41"/>
    <w:rsid w:val="00052DF0"/>
    <w:rsid w:val="00055E06"/>
    <w:rsid w:val="00056A70"/>
    <w:rsid w:val="00056ACC"/>
    <w:rsid w:val="0005725C"/>
    <w:rsid w:val="00057901"/>
    <w:rsid w:val="00057C08"/>
    <w:rsid w:val="00060E86"/>
    <w:rsid w:val="0006473A"/>
    <w:rsid w:val="00065A3E"/>
    <w:rsid w:val="00065BE7"/>
    <w:rsid w:val="0006643D"/>
    <w:rsid w:val="00067760"/>
    <w:rsid w:val="0007265C"/>
    <w:rsid w:val="00072D51"/>
    <w:rsid w:val="000739FD"/>
    <w:rsid w:val="00073D2F"/>
    <w:rsid w:val="000740EC"/>
    <w:rsid w:val="000753AD"/>
    <w:rsid w:val="00075A83"/>
    <w:rsid w:val="00075C0B"/>
    <w:rsid w:val="00076814"/>
    <w:rsid w:val="000839CD"/>
    <w:rsid w:val="00083C1A"/>
    <w:rsid w:val="00084000"/>
    <w:rsid w:val="00084857"/>
    <w:rsid w:val="000874CB"/>
    <w:rsid w:val="00087CDB"/>
    <w:rsid w:val="0009129F"/>
    <w:rsid w:val="0009580C"/>
    <w:rsid w:val="0009649C"/>
    <w:rsid w:val="00097AFA"/>
    <w:rsid w:val="000A034D"/>
    <w:rsid w:val="000A5843"/>
    <w:rsid w:val="000A5F13"/>
    <w:rsid w:val="000A716D"/>
    <w:rsid w:val="000B2192"/>
    <w:rsid w:val="000B3C76"/>
    <w:rsid w:val="000B5000"/>
    <w:rsid w:val="000B5978"/>
    <w:rsid w:val="000B5C94"/>
    <w:rsid w:val="000C1B85"/>
    <w:rsid w:val="000C461B"/>
    <w:rsid w:val="000C626E"/>
    <w:rsid w:val="000D1D1C"/>
    <w:rsid w:val="000D4358"/>
    <w:rsid w:val="000D470D"/>
    <w:rsid w:val="000D570C"/>
    <w:rsid w:val="000D5B17"/>
    <w:rsid w:val="000D7710"/>
    <w:rsid w:val="000E093F"/>
    <w:rsid w:val="000E0C63"/>
    <w:rsid w:val="000E490C"/>
    <w:rsid w:val="000E5778"/>
    <w:rsid w:val="000E6D0A"/>
    <w:rsid w:val="000F0274"/>
    <w:rsid w:val="000F111B"/>
    <w:rsid w:val="000F74DC"/>
    <w:rsid w:val="000F7579"/>
    <w:rsid w:val="001010A8"/>
    <w:rsid w:val="0010212E"/>
    <w:rsid w:val="0010608F"/>
    <w:rsid w:val="00106E1A"/>
    <w:rsid w:val="001071AF"/>
    <w:rsid w:val="00112D17"/>
    <w:rsid w:val="00113749"/>
    <w:rsid w:val="00114C8E"/>
    <w:rsid w:val="001153E9"/>
    <w:rsid w:val="00125431"/>
    <w:rsid w:val="001306DD"/>
    <w:rsid w:val="00132487"/>
    <w:rsid w:val="001326A9"/>
    <w:rsid w:val="00133AA5"/>
    <w:rsid w:val="00134A51"/>
    <w:rsid w:val="00142393"/>
    <w:rsid w:val="00142C3B"/>
    <w:rsid w:val="00144EA0"/>
    <w:rsid w:val="0014513C"/>
    <w:rsid w:val="00145D5B"/>
    <w:rsid w:val="001474D8"/>
    <w:rsid w:val="00151449"/>
    <w:rsid w:val="001521A8"/>
    <w:rsid w:val="0015364E"/>
    <w:rsid w:val="001547CA"/>
    <w:rsid w:val="00156493"/>
    <w:rsid w:val="00156805"/>
    <w:rsid w:val="00157203"/>
    <w:rsid w:val="00164568"/>
    <w:rsid w:val="001677D9"/>
    <w:rsid w:val="00167BC7"/>
    <w:rsid w:val="00174585"/>
    <w:rsid w:val="00175E40"/>
    <w:rsid w:val="0018210D"/>
    <w:rsid w:val="00182E3E"/>
    <w:rsid w:val="0018387F"/>
    <w:rsid w:val="00184037"/>
    <w:rsid w:val="00187B63"/>
    <w:rsid w:val="001919E1"/>
    <w:rsid w:val="00193D6A"/>
    <w:rsid w:val="00194398"/>
    <w:rsid w:val="00194D0B"/>
    <w:rsid w:val="0019557A"/>
    <w:rsid w:val="001A2E7E"/>
    <w:rsid w:val="001A321F"/>
    <w:rsid w:val="001A6E35"/>
    <w:rsid w:val="001A78F3"/>
    <w:rsid w:val="001B2394"/>
    <w:rsid w:val="001B4A41"/>
    <w:rsid w:val="001B52B4"/>
    <w:rsid w:val="001B70C9"/>
    <w:rsid w:val="001B77DE"/>
    <w:rsid w:val="001C0CF8"/>
    <w:rsid w:val="001C5A9B"/>
    <w:rsid w:val="001D257B"/>
    <w:rsid w:val="001D5F97"/>
    <w:rsid w:val="001D7DD8"/>
    <w:rsid w:val="001E1EE0"/>
    <w:rsid w:val="001E4414"/>
    <w:rsid w:val="001E5135"/>
    <w:rsid w:val="001E69B3"/>
    <w:rsid w:val="001F093E"/>
    <w:rsid w:val="001F0EA4"/>
    <w:rsid w:val="001F19AD"/>
    <w:rsid w:val="00201390"/>
    <w:rsid w:val="002039A8"/>
    <w:rsid w:val="00210DC9"/>
    <w:rsid w:val="00211907"/>
    <w:rsid w:val="002125D1"/>
    <w:rsid w:val="002129B5"/>
    <w:rsid w:val="002137E7"/>
    <w:rsid w:val="0021565A"/>
    <w:rsid w:val="00217EDA"/>
    <w:rsid w:val="0022404D"/>
    <w:rsid w:val="0022553E"/>
    <w:rsid w:val="00225616"/>
    <w:rsid w:val="00225A95"/>
    <w:rsid w:val="00225AC6"/>
    <w:rsid w:val="00225AF0"/>
    <w:rsid w:val="0023022A"/>
    <w:rsid w:val="00231351"/>
    <w:rsid w:val="0023150C"/>
    <w:rsid w:val="002323A4"/>
    <w:rsid w:val="002367DA"/>
    <w:rsid w:val="00236B23"/>
    <w:rsid w:val="00241E60"/>
    <w:rsid w:val="002422EB"/>
    <w:rsid w:val="00242F6C"/>
    <w:rsid w:val="00245988"/>
    <w:rsid w:val="00246A4E"/>
    <w:rsid w:val="00247B6F"/>
    <w:rsid w:val="0025018B"/>
    <w:rsid w:val="00250DE6"/>
    <w:rsid w:val="00250E6F"/>
    <w:rsid w:val="00251534"/>
    <w:rsid w:val="002517B4"/>
    <w:rsid w:val="00254FF3"/>
    <w:rsid w:val="00256431"/>
    <w:rsid w:val="00256C3C"/>
    <w:rsid w:val="00260398"/>
    <w:rsid w:val="0026228C"/>
    <w:rsid w:val="002707F0"/>
    <w:rsid w:val="00270951"/>
    <w:rsid w:val="00270BD2"/>
    <w:rsid w:val="00271216"/>
    <w:rsid w:val="00271402"/>
    <w:rsid w:val="00271886"/>
    <w:rsid w:val="00271B52"/>
    <w:rsid w:val="00271C74"/>
    <w:rsid w:val="002729D2"/>
    <w:rsid w:val="00272A4F"/>
    <w:rsid w:val="00273876"/>
    <w:rsid w:val="00273A6B"/>
    <w:rsid w:val="00277253"/>
    <w:rsid w:val="00277CE7"/>
    <w:rsid w:val="00280026"/>
    <w:rsid w:val="002823D4"/>
    <w:rsid w:val="002828CE"/>
    <w:rsid w:val="00283691"/>
    <w:rsid w:val="002837F4"/>
    <w:rsid w:val="0028559A"/>
    <w:rsid w:val="00285E79"/>
    <w:rsid w:val="00290971"/>
    <w:rsid w:val="00292499"/>
    <w:rsid w:val="00292662"/>
    <w:rsid w:val="00292E69"/>
    <w:rsid w:val="00293551"/>
    <w:rsid w:val="002957B4"/>
    <w:rsid w:val="00296DCF"/>
    <w:rsid w:val="002976EF"/>
    <w:rsid w:val="002A0745"/>
    <w:rsid w:val="002A0A10"/>
    <w:rsid w:val="002A1061"/>
    <w:rsid w:val="002A119D"/>
    <w:rsid w:val="002A1415"/>
    <w:rsid w:val="002A263D"/>
    <w:rsid w:val="002A305F"/>
    <w:rsid w:val="002A4224"/>
    <w:rsid w:val="002A500E"/>
    <w:rsid w:val="002A50A0"/>
    <w:rsid w:val="002A5BB7"/>
    <w:rsid w:val="002A7729"/>
    <w:rsid w:val="002B027A"/>
    <w:rsid w:val="002B39C7"/>
    <w:rsid w:val="002C066C"/>
    <w:rsid w:val="002C4768"/>
    <w:rsid w:val="002C78CA"/>
    <w:rsid w:val="002D017C"/>
    <w:rsid w:val="002D4EF6"/>
    <w:rsid w:val="002D4FE0"/>
    <w:rsid w:val="002D7397"/>
    <w:rsid w:val="002D7854"/>
    <w:rsid w:val="002D78DB"/>
    <w:rsid w:val="002E156E"/>
    <w:rsid w:val="002E1A80"/>
    <w:rsid w:val="002E1BB0"/>
    <w:rsid w:val="002E2EEA"/>
    <w:rsid w:val="002E4765"/>
    <w:rsid w:val="002E491D"/>
    <w:rsid w:val="002F15D9"/>
    <w:rsid w:val="002F54D4"/>
    <w:rsid w:val="002F6505"/>
    <w:rsid w:val="002F692E"/>
    <w:rsid w:val="002F75E4"/>
    <w:rsid w:val="00301123"/>
    <w:rsid w:val="003011B1"/>
    <w:rsid w:val="00302CC8"/>
    <w:rsid w:val="0030346C"/>
    <w:rsid w:val="00303F95"/>
    <w:rsid w:val="00304CB3"/>
    <w:rsid w:val="00304DD1"/>
    <w:rsid w:val="00305A83"/>
    <w:rsid w:val="00310D5A"/>
    <w:rsid w:val="00312FA1"/>
    <w:rsid w:val="0031594D"/>
    <w:rsid w:val="00317D7C"/>
    <w:rsid w:val="00320327"/>
    <w:rsid w:val="0032160B"/>
    <w:rsid w:val="00322AEC"/>
    <w:rsid w:val="00323EA4"/>
    <w:rsid w:val="00324AA5"/>
    <w:rsid w:val="003261FA"/>
    <w:rsid w:val="0032785B"/>
    <w:rsid w:val="00327B92"/>
    <w:rsid w:val="00330292"/>
    <w:rsid w:val="003318E7"/>
    <w:rsid w:val="00333CD6"/>
    <w:rsid w:val="0033428C"/>
    <w:rsid w:val="00335C50"/>
    <w:rsid w:val="00336D0A"/>
    <w:rsid w:val="00337E76"/>
    <w:rsid w:val="003408AD"/>
    <w:rsid w:val="0034104A"/>
    <w:rsid w:val="003412FE"/>
    <w:rsid w:val="0034190F"/>
    <w:rsid w:val="0034646D"/>
    <w:rsid w:val="00346533"/>
    <w:rsid w:val="003504CB"/>
    <w:rsid w:val="00353FDD"/>
    <w:rsid w:val="00362482"/>
    <w:rsid w:val="00362EEE"/>
    <w:rsid w:val="00364E9D"/>
    <w:rsid w:val="003726FE"/>
    <w:rsid w:val="00372920"/>
    <w:rsid w:val="00374D03"/>
    <w:rsid w:val="003766CD"/>
    <w:rsid w:val="00381692"/>
    <w:rsid w:val="00384E98"/>
    <w:rsid w:val="00385814"/>
    <w:rsid w:val="00387ABB"/>
    <w:rsid w:val="003911B5"/>
    <w:rsid w:val="00391263"/>
    <w:rsid w:val="0039141A"/>
    <w:rsid w:val="003955A7"/>
    <w:rsid w:val="003957FB"/>
    <w:rsid w:val="00395BB6"/>
    <w:rsid w:val="003A103F"/>
    <w:rsid w:val="003A13F6"/>
    <w:rsid w:val="003A44AA"/>
    <w:rsid w:val="003A4A55"/>
    <w:rsid w:val="003A6635"/>
    <w:rsid w:val="003A6884"/>
    <w:rsid w:val="003B094D"/>
    <w:rsid w:val="003B2C77"/>
    <w:rsid w:val="003B3057"/>
    <w:rsid w:val="003B3C0A"/>
    <w:rsid w:val="003B77AF"/>
    <w:rsid w:val="003C04D4"/>
    <w:rsid w:val="003C13E5"/>
    <w:rsid w:val="003C1829"/>
    <w:rsid w:val="003C3846"/>
    <w:rsid w:val="003C5397"/>
    <w:rsid w:val="003C5EA6"/>
    <w:rsid w:val="003C617B"/>
    <w:rsid w:val="003C73C0"/>
    <w:rsid w:val="003C762A"/>
    <w:rsid w:val="003D0B8C"/>
    <w:rsid w:val="003D1A9C"/>
    <w:rsid w:val="003D336B"/>
    <w:rsid w:val="003D71F2"/>
    <w:rsid w:val="003E0C99"/>
    <w:rsid w:val="003E105A"/>
    <w:rsid w:val="003E1EC1"/>
    <w:rsid w:val="003E4F18"/>
    <w:rsid w:val="003E7E2E"/>
    <w:rsid w:val="003F1474"/>
    <w:rsid w:val="003F57AE"/>
    <w:rsid w:val="004007BE"/>
    <w:rsid w:val="0040520C"/>
    <w:rsid w:val="00406FB7"/>
    <w:rsid w:val="0041465C"/>
    <w:rsid w:val="004162C9"/>
    <w:rsid w:val="00417352"/>
    <w:rsid w:val="00417914"/>
    <w:rsid w:val="00420A0A"/>
    <w:rsid w:val="004216B9"/>
    <w:rsid w:val="00424B00"/>
    <w:rsid w:val="0042604C"/>
    <w:rsid w:val="0042657E"/>
    <w:rsid w:val="00433D9F"/>
    <w:rsid w:val="00437F5E"/>
    <w:rsid w:val="00441148"/>
    <w:rsid w:val="00441E99"/>
    <w:rsid w:val="00442867"/>
    <w:rsid w:val="00443B52"/>
    <w:rsid w:val="004442C3"/>
    <w:rsid w:val="004471CB"/>
    <w:rsid w:val="0044758D"/>
    <w:rsid w:val="00450EAF"/>
    <w:rsid w:val="0045152F"/>
    <w:rsid w:val="004518B3"/>
    <w:rsid w:val="00451C98"/>
    <w:rsid w:val="00452F03"/>
    <w:rsid w:val="00454466"/>
    <w:rsid w:val="00454F50"/>
    <w:rsid w:val="004575CE"/>
    <w:rsid w:val="00461116"/>
    <w:rsid w:val="00461925"/>
    <w:rsid w:val="00464800"/>
    <w:rsid w:val="00466D87"/>
    <w:rsid w:val="004678F8"/>
    <w:rsid w:val="00467B75"/>
    <w:rsid w:val="00467D24"/>
    <w:rsid w:val="00470521"/>
    <w:rsid w:val="00472118"/>
    <w:rsid w:val="00476293"/>
    <w:rsid w:val="00476FF5"/>
    <w:rsid w:val="0047734B"/>
    <w:rsid w:val="00482C1D"/>
    <w:rsid w:val="00482C6E"/>
    <w:rsid w:val="00486B75"/>
    <w:rsid w:val="00491397"/>
    <w:rsid w:val="0049569B"/>
    <w:rsid w:val="0049678D"/>
    <w:rsid w:val="004A5ADA"/>
    <w:rsid w:val="004A62E6"/>
    <w:rsid w:val="004A797C"/>
    <w:rsid w:val="004A7A4F"/>
    <w:rsid w:val="004A7C0F"/>
    <w:rsid w:val="004B23C2"/>
    <w:rsid w:val="004B481A"/>
    <w:rsid w:val="004B7991"/>
    <w:rsid w:val="004B7E31"/>
    <w:rsid w:val="004C0D67"/>
    <w:rsid w:val="004C6678"/>
    <w:rsid w:val="004D2F8B"/>
    <w:rsid w:val="004D346F"/>
    <w:rsid w:val="004D645F"/>
    <w:rsid w:val="004D668F"/>
    <w:rsid w:val="004D7B32"/>
    <w:rsid w:val="004E02A9"/>
    <w:rsid w:val="004E30DB"/>
    <w:rsid w:val="004E45EC"/>
    <w:rsid w:val="004F0456"/>
    <w:rsid w:val="004F33D5"/>
    <w:rsid w:val="004F5248"/>
    <w:rsid w:val="004F57FF"/>
    <w:rsid w:val="004F5FB8"/>
    <w:rsid w:val="004F6E3C"/>
    <w:rsid w:val="004F7882"/>
    <w:rsid w:val="0050195E"/>
    <w:rsid w:val="00501C03"/>
    <w:rsid w:val="00504619"/>
    <w:rsid w:val="00506DD5"/>
    <w:rsid w:val="00507D81"/>
    <w:rsid w:val="005112B8"/>
    <w:rsid w:val="00514450"/>
    <w:rsid w:val="00516466"/>
    <w:rsid w:val="00520591"/>
    <w:rsid w:val="005223AA"/>
    <w:rsid w:val="005250BA"/>
    <w:rsid w:val="00525E1F"/>
    <w:rsid w:val="0053284D"/>
    <w:rsid w:val="005332E7"/>
    <w:rsid w:val="0053337E"/>
    <w:rsid w:val="00533CF8"/>
    <w:rsid w:val="00533D51"/>
    <w:rsid w:val="005342E8"/>
    <w:rsid w:val="00534D9B"/>
    <w:rsid w:val="005356E1"/>
    <w:rsid w:val="0054105C"/>
    <w:rsid w:val="005435C9"/>
    <w:rsid w:val="005439D7"/>
    <w:rsid w:val="00544D36"/>
    <w:rsid w:val="00545D4B"/>
    <w:rsid w:val="005479DE"/>
    <w:rsid w:val="00551A11"/>
    <w:rsid w:val="00553EFA"/>
    <w:rsid w:val="00554484"/>
    <w:rsid w:val="005547FA"/>
    <w:rsid w:val="0055636D"/>
    <w:rsid w:val="005565E4"/>
    <w:rsid w:val="005571D8"/>
    <w:rsid w:val="00557209"/>
    <w:rsid w:val="00557792"/>
    <w:rsid w:val="00560961"/>
    <w:rsid w:val="005613EE"/>
    <w:rsid w:val="00562082"/>
    <w:rsid w:val="0056267A"/>
    <w:rsid w:val="0056284D"/>
    <w:rsid w:val="00563B3E"/>
    <w:rsid w:val="00564674"/>
    <w:rsid w:val="0057018E"/>
    <w:rsid w:val="005711FF"/>
    <w:rsid w:val="0057148B"/>
    <w:rsid w:val="00571A5E"/>
    <w:rsid w:val="00571CBD"/>
    <w:rsid w:val="00572D4C"/>
    <w:rsid w:val="00573AB7"/>
    <w:rsid w:val="00574589"/>
    <w:rsid w:val="00574D09"/>
    <w:rsid w:val="00575D77"/>
    <w:rsid w:val="0057627D"/>
    <w:rsid w:val="005769C2"/>
    <w:rsid w:val="00580F87"/>
    <w:rsid w:val="00584B63"/>
    <w:rsid w:val="00586EDE"/>
    <w:rsid w:val="005901F1"/>
    <w:rsid w:val="00590C11"/>
    <w:rsid w:val="00590EB6"/>
    <w:rsid w:val="005928C9"/>
    <w:rsid w:val="00595F14"/>
    <w:rsid w:val="00595F2A"/>
    <w:rsid w:val="005A084E"/>
    <w:rsid w:val="005A2327"/>
    <w:rsid w:val="005A24E7"/>
    <w:rsid w:val="005B1D24"/>
    <w:rsid w:val="005C241E"/>
    <w:rsid w:val="005C283C"/>
    <w:rsid w:val="005C329B"/>
    <w:rsid w:val="005C32CF"/>
    <w:rsid w:val="005C4DC8"/>
    <w:rsid w:val="005C7C12"/>
    <w:rsid w:val="005D36D1"/>
    <w:rsid w:val="005D4760"/>
    <w:rsid w:val="005D4E5D"/>
    <w:rsid w:val="005E11DA"/>
    <w:rsid w:val="005E2536"/>
    <w:rsid w:val="005E2BDD"/>
    <w:rsid w:val="005E5B03"/>
    <w:rsid w:val="005E6843"/>
    <w:rsid w:val="005E70D6"/>
    <w:rsid w:val="005F01AD"/>
    <w:rsid w:val="005F0224"/>
    <w:rsid w:val="005F1BB9"/>
    <w:rsid w:val="005F6B64"/>
    <w:rsid w:val="00600439"/>
    <w:rsid w:val="00602000"/>
    <w:rsid w:val="0060206B"/>
    <w:rsid w:val="00602507"/>
    <w:rsid w:val="006030EF"/>
    <w:rsid w:val="00604F7F"/>
    <w:rsid w:val="006065E7"/>
    <w:rsid w:val="0061049E"/>
    <w:rsid w:val="0061097A"/>
    <w:rsid w:val="006127C4"/>
    <w:rsid w:val="006136BB"/>
    <w:rsid w:val="00626044"/>
    <w:rsid w:val="006263DC"/>
    <w:rsid w:val="00627B4E"/>
    <w:rsid w:val="00630685"/>
    <w:rsid w:val="00632CFC"/>
    <w:rsid w:val="00633CC0"/>
    <w:rsid w:val="006347F8"/>
    <w:rsid w:val="006351F4"/>
    <w:rsid w:val="00642CEA"/>
    <w:rsid w:val="00644EA1"/>
    <w:rsid w:val="0065043F"/>
    <w:rsid w:val="0065397D"/>
    <w:rsid w:val="00653A11"/>
    <w:rsid w:val="0065602C"/>
    <w:rsid w:val="00661133"/>
    <w:rsid w:val="00661828"/>
    <w:rsid w:val="00663204"/>
    <w:rsid w:val="00663C8C"/>
    <w:rsid w:val="00664DCE"/>
    <w:rsid w:val="00665C04"/>
    <w:rsid w:val="00667973"/>
    <w:rsid w:val="0067446D"/>
    <w:rsid w:val="00674570"/>
    <w:rsid w:val="00674DE9"/>
    <w:rsid w:val="00677159"/>
    <w:rsid w:val="00677982"/>
    <w:rsid w:val="00677E6A"/>
    <w:rsid w:val="00681654"/>
    <w:rsid w:val="0068622F"/>
    <w:rsid w:val="006907D4"/>
    <w:rsid w:val="006966B2"/>
    <w:rsid w:val="0069697E"/>
    <w:rsid w:val="006A084D"/>
    <w:rsid w:val="006A2D9B"/>
    <w:rsid w:val="006A5E44"/>
    <w:rsid w:val="006A67F4"/>
    <w:rsid w:val="006B0FC3"/>
    <w:rsid w:val="006B3563"/>
    <w:rsid w:val="006B3686"/>
    <w:rsid w:val="006B5F83"/>
    <w:rsid w:val="006B6BAE"/>
    <w:rsid w:val="006C0AFA"/>
    <w:rsid w:val="006C28D5"/>
    <w:rsid w:val="006C4308"/>
    <w:rsid w:val="006C47EE"/>
    <w:rsid w:val="006D084E"/>
    <w:rsid w:val="006D187F"/>
    <w:rsid w:val="006D283B"/>
    <w:rsid w:val="006D3324"/>
    <w:rsid w:val="006D3D15"/>
    <w:rsid w:val="006D405D"/>
    <w:rsid w:val="006D5092"/>
    <w:rsid w:val="006D758A"/>
    <w:rsid w:val="006D7E8B"/>
    <w:rsid w:val="006E0751"/>
    <w:rsid w:val="006E0BBF"/>
    <w:rsid w:val="006E1DC1"/>
    <w:rsid w:val="006E223A"/>
    <w:rsid w:val="006E304F"/>
    <w:rsid w:val="006E5428"/>
    <w:rsid w:val="006E5A79"/>
    <w:rsid w:val="006E6592"/>
    <w:rsid w:val="006F17C5"/>
    <w:rsid w:val="006F237F"/>
    <w:rsid w:val="006F2D9D"/>
    <w:rsid w:val="006F4DE1"/>
    <w:rsid w:val="006F5322"/>
    <w:rsid w:val="006F6286"/>
    <w:rsid w:val="006F67BE"/>
    <w:rsid w:val="00701B10"/>
    <w:rsid w:val="0070501B"/>
    <w:rsid w:val="00707AED"/>
    <w:rsid w:val="00707FB5"/>
    <w:rsid w:val="00711CC6"/>
    <w:rsid w:val="00715E2B"/>
    <w:rsid w:val="00716BAD"/>
    <w:rsid w:val="007200E3"/>
    <w:rsid w:val="00723DA4"/>
    <w:rsid w:val="00724497"/>
    <w:rsid w:val="00724878"/>
    <w:rsid w:val="0072572E"/>
    <w:rsid w:val="00727071"/>
    <w:rsid w:val="00732007"/>
    <w:rsid w:val="00732012"/>
    <w:rsid w:val="00740977"/>
    <w:rsid w:val="0074291B"/>
    <w:rsid w:val="00746271"/>
    <w:rsid w:val="0074673E"/>
    <w:rsid w:val="0074698C"/>
    <w:rsid w:val="007472E0"/>
    <w:rsid w:val="00747322"/>
    <w:rsid w:val="00750363"/>
    <w:rsid w:val="0075073F"/>
    <w:rsid w:val="007512A6"/>
    <w:rsid w:val="00752B98"/>
    <w:rsid w:val="00753F29"/>
    <w:rsid w:val="007564E3"/>
    <w:rsid w:val="00761791"/>
    <w:rsid w:val="00762378"/>
    <w:rsid w:val="00762AE7"/>
    <w:rsid w:val="0076551F"/>
    <w:rsid w:val="007655B3"/>
    <w:rsid w:val="00771410"/>
    <w:rsid w:val="0077276B"/>
    <w:rsid w:val="0077304F"/>
    <w:rsid w:val="007733B5"/>
    <w:rsid w:val="007748D6"/>
    <w:rsid w:val="007759C1"/>
    <w:rsid w:val="00775DAE"/>
    <w:rsid w:val="007771A2"/>
    <w:rsid w:val="0078332A"/>
    <w:rsid w:val="0078604F"/>
    <w:rsid w:val="007907F1"/>
    <w:rsid w:val="00792111"/>
    <w:rsid w:val="00792CC8"/>
    <w:rsid w:val="00793716"/>
    <w:rsid w:val="00794DF7"/>
    <w:rsid w:val="00794E0C"/>
    <w:rsid w:val="00795950"/>
    <w:rsid w:val="00795A87"/>
    <w:rsid w:val="00796371"/>
    <w:rsid w:val="007966BA"/>
    <w:rsid w:val="007A0C9E"/>
    <w:rsid w:val="007A305F"/>
    <w:rsid w:val="007A3A87"/>
    <w:rsid w:val="007A4B86"/>
    <w:rsid w:val="007A5A51"/>
    <w:rsid w:val="007A6469"/>
    <w:rsid w:val="007A7478"/>
    <w:rsid w:val="007A7B32"/>
    <w:rsid w:val="007A7F10"/>
    <w:rsid w:val="007B13BD"/>
    <w:rsid w:val="007B1EDA"/>
    <w:rsid w:val="007B2527"/>
    <w:rsid w:val="007B4BEE"/>
    <w:rsid w:val="007B6DB7"/>
    <w:rsid w:val="007C0783"/>
    <w:rsid w:val="007C0B9E"/>
    <w:rsid w:val="007C251D"/>
    <w:rsid w:val="007C4CCD"/>
    <w:rsid w:val="007C58A5"/>
    <w:rsid w:val="007C5B39"/>
    <w:rsid w:val="007C6A7D"/>
    <w:rsid w:val="007C7F9B"/>
    <w:rsid w:val="007D1C3D"/>
    <w:rsid w:val="007D28A2"/>
    <w:rsid w:val="007D28DB"/>
    <w:rsid w:val="007D3594"/>
    <w:rsid w:val="007D5861"/>
    <w:rsid w:val="007D6A38"/>
    <w:rsid w:val="007D6D9E"/>
    <w:rsid w:val="007E025C"/>
    <w:rsid w:val="007E415D"/>
    <w:rsid w:val="007E42BA"/>
    <w:rsid w:val="007E485F"/>
    <w:rsid w:val="007E644E"/>
    <w:rsid w:val="007E6731"/>
    <w:rsid w:val="007F1F41"/>
    <w:rsid w:val="007F275F"/>
    <w:rsid w:val="007F308F"/>
    <w:rsid w:val="007F3D95"/>
    <w:rsid w:val="007F4570"/>
    <w:rsid w:val="007F5051"/>
    <w:rsid w:val="007F6D58"/>
    <w:rsid w:val="007F729B"/>
    <w:rsid w:val="00800F01"/>
    <w:rsid w:val="00806C36"/>
    <w:rsid w:val="00811FCB"/>
    <w:rsid w:val="00816C4A"/>
    <w:rsid w:val="00817DC2"/>
    <w:rsid w:val="00820C07"/>
    <w:rsid w:val="00827D01"/>
    <w:rsid w:val="00830DFE"/>
    <w:rsid w:val="008318AA"/>
    <w:rsid w:val="00831A73"/>
    <w:rsid w:val="00831FC3"/>
    <w:rsid w:val="00833065"/>
    <w:rsid w:val="00837011"/>
    <w:rsid w:val="00840A43"/>
    <w:rsid w:val="00844E6D"/>
    <w:rsid w:val="00850A1A"/>
    <w:rsid w:val="00853D1C"/>
    <w:rsid w:val="008540DA"/>
    <w:rsid w:val="00862521"/>
    <w:rsid w:val="008664E9"/>
    <w:rsid w:val="0086704A"/>
    <w:rsid w:val="0087302F"/>
    <w:rsid w:val="00873557"/>
    <w:rsid w:val="00874388"/>
    <w:rsid w:val="00874CA1"/>
    <w:rsid w:val="00875625"/>
    <w:rsid w:val="008759B4"/>
    <w:rsid w:val="00875B99"/>
    <w:rsid w:val="0087684C"/>
    <w:rsid w:val="00880C93"/>
    <w:rsid w:val="008819A8"/>
    <w:rsid w:val="00884F9D"/>
    <w:rsid w:val="008851EF"/>
    <w:rsid w:val="0089125B"/>
    <w:rsid w:val="0089238E"/>
    <w:rsid w:val="00894B35"/>
    <w:rsid w:val="00896780"/>
    <w:rsid w:val="0089693E"/>
    <w:rsid w:val="00896B26"/>
    <w:rsid w:val="00896D8A"/>
    <w:rsid w:val="008A1F59"/>
    <w:rsid w:val="008A21CF"/>
    <w:rsid w:val="008A2E55"/>
    <w:rsid w:val="008A6130"/>
    <w:rsid w:val="008B0B8D"/>
    <w:rsid w:val="008B11E8"/>
    <w:rsid w:val="008B259C"/>
    <w:rsid w:val="008B2E3B"/>
    <w:rsid w:val="008B4391"/>
    <w:rsid w:val="008B4629"/>
    <w:rsid w:val="008B4965"/>
    <w:rsid w:val="008B75FB"/>
    <w:rsid w:val="008C3645"/>
    <w:rsid w:val="008C5BCA"/>
    <w:rsid w:val="008D02F9"/>
    <w:rsid w:val="008D11AA"/>
    <w:rsid w:val="008D16A4"/>
    <w:rsid w:val="008D254F"/>
    <w:rsid w:val="008D2CD7"/>
    <w:rsid w:val="008E16FF"/>
    <w:rsid w:val="008E265A"/>
    <w:rsid w:val="008E637D"/>
    <w:rsid w:val="008E6760"/>
    <w:rsid w:val="008F11FC"/>
    <w:rsid w:val="008F280E"/>
    <w:rsid w:val="008F2E65"/>
    <w:rsid w:val="008F3214"/>
    <w:rsid w:val="008F3DED"/>
    <w:rsid w:val="008F4272"/>
    <w:rsid w:val="008F7E2A"/>
    <w:rsid w:val="00900CFA"/>
    <w:rsid w:val="0090416F"/>
    <w:rsid w:val="00907F41"/>
    <w:rsid w:val="00912321"/>
    <w:rsid w:val="00912BA0"/>
    <w:rsid w:val="009148D3"/>
    <w:rsid w:val="00916E5E"/>
    <w:rsid w:val="00917D14"/>
    <w:rsid w:val="0092067F"/>
    <w:rsid w:val="0092449B"/>
    <w:rsid w:val="0092471D"/>
    <w:rsid w:val="00927494"/>
    <w:rsid w:val="009310F1"/>
    <w:rsid w:val="00931B85"/>
    <w:rsid w:val="00933A39"/>
    <w:rsid w:val="00933E90"/>
    <w:rsid w:val="00935A5B"/>
    <w:rsid w:val="00936A85"/>
    <w:rsid w:val="00936DC7"/>
    <w:rsid w:val="009415C1"/>
    <w:rsid w:val="0094209F"/>
    <w:rsid w:val="009432AE"/>
    <w:rsid w:val="009439A3"/>
    <w:rsid w:val="00945603"/>
    <w:rsid w:val="00947B6E"/>
    <w:rsid w:val="009504DE"/>
    <w:rsid w:val="00951FED"/>
    <w:rsid w:val="00955488"/>
    <w:rsid w:val="00957CB1"/>
    <w:rsid w:val="00960841"/>
    <w:rsid w:val="009615A0"/>
    <w:rsid w:val="009635FC"/>
    <w:rsid w:val="00964886"/>
    <w:rsid w:val="009652E2"/>
    <w:rsid w:val="0096768B"/>
    <w:rsid w:val="009713AA"/>
    <w:rsid w:val="009728B3"/>
    <w:rsid w:val="009734F2"/>
    <w:rsid w:val="00973ADC"/>
    <w:rsid w:val="0097411A"/>
    <w:rsid w:val="00974724"/>
    <w:rsid w:val="00975391"/>
    <w:rsid w:val="009753C4"/>
    <w:rsid w:val="009806F7"/>
    <w:rsid w:val="00983B81"/>
    <w:rsid w:val="00984123"/>
    <w:rsid w:val="00985C57"/>
    <w:rsid w:val="00986ABD"/>
    <w:rsid w:val="009875A3"/>
    <w:rsid w:val="009901DA"/>
    <w:rsid w:val="00992044"/>
    <w:rsid w:val="00992B09"/>
    <w:rsid w:val="009948F8"/>
    <w:rsid w:val="00994EC4"/>
    <w:rsid w:val="009A3B00"/>
    <w:rsid w:val="009A4E4D"/>
    <w:rsid w:val="009A618D"/>
    <w:rsid w:val="009A6893"/>
    <w:rsid w:val="009A7215"/>
    <w:rsid w:val="009B5A2E"/>
    <w:rsid w:val="009B65BE"/>
    <w:rsid w:val="009B7418"/>
    <w:rsid w:val="009C2424"/>
    <w:rsid w:val="009D2712"/>
    <w:rsid w:val="009D37F6"/>
    <w:rsid w:val="009D545E"/>
    <w:rsid w:val="009D6748"/>
    <w:rsid w:val="009D6B98"/>
    <w:rsid w:val="009D6C15"/>
    <w:rsid w:val="009D7555"/>
    <w:rsid w:val="009D7C5F"/>
    <w:rsid w:val="009D7F66"/>
    <w:rsid w:val="009E50CC"/>
    <w:rsid w:val="009F2A5C"/>
    <w:rsid w:val="009F36D1"/>
    <w:rsid w:val="009F3B02"/>
    <w:rsid w:val="009F7ABC"/>
    <w:rsid w:val="00A0262B"/>
    <w:rsid w:val="00A040A2"/>
    <w:rsid w:val="00A04AEA"/>
    <w:rsid w:val="00A073CC"/>
    <w:rsid w:val="00A079C5"/>
    <w:rsid w:val="00A17DA5"/>
    <w:rsid w:val="00A246C4"/>
    <w:rsid w:val="00A268F0"/>
    <w:rsid w:val="00A26AD1"/>
    <w:rsid w:val="00A273BC"/>
    <w:rsid w:val="00A27B80"/>
    <w:rsid w:val="00A3073F"/>
    <w:rsid w:val="00A316EE"/>
    <w:rsid w:val="00A34A26"/>
    <w:rsid w:val="00A366E3"/>
    <w:rsid w:val="00A3766E"/>
    <w:rsid w:val="00A4001D"/>
    <w:rsid w:val="00A438B1"/>
    <w:rsid w:val="00A441F3"/>
    <w:rsid w:val="00A46A18"/>
    <w:rsid w:val="00A46C96"/>
    <w:rsid w:val="00A51DB1"/>
    <w:rsid w:val="00A53DF1"/>
    <w:rsid w:val="00A549D2"/>
    <w:rsid w:val="00A5726D"/>
    <w:rsid w:val="00A57807"/>
    <w:rsid w:val="00A60659"/>
    <w:rsid w:val="00A60BD3"/>
    <w:rsid w:val="00A60E2C"/>
    <w:rsid w:val="00A616D5"/>
    <w:rsid w:val="00A629F4"/>
    <w:rsid w:val="00A65220"/>
    <w:rsid w:val="00A67582"/>
    <w:rsid w:val="00A70C42"/>
    <w:rsid w:val="00A70CF0"/>
    <w:rsid w:val="00A70DF3"/>
    <w:rsid w:val="00A71297"/>
    <w:rsid w:val="00A80B6A"/>
    <w:rsid w:val="00A81A8C"/>
    <w:rsid w:val="00A83AE1"/>
    <w:rsid w:val="00A90061"/>
    <w:rsid w:val="00A91B58"/>
    <w:rsid w:val="00A91FFC"/>
    <w:rsid w:val="00A94119"/>
    <w:rsid w:val="00AA5858"/>
    <w:rsid w:val="00AB02DC"/>
    <w:rsid w:val="00AB0550"/>
    <w:rsid w:val="00AB2270"/>
    <w:rsid w:val="00AB738A"/>
    <w:rsid w:val="00AC1297"/>
    <w:rsid w:val="00AC2223"/>
    <w:rsid w:val="00AC2F9B"/>
    <w:rsid w:val="00AC2FF1"/>
    <w:rsid w:val="00AC657F"/>
    <w:rsid w:val="00AD0A83"/>
    <w:rsid w:val="00AD1943"/>
    <w:rsid w:val="00AD2AA3"/>
    <w:rsid w:val="00AD5C09"/>
    <w:rsid w:val="00AD5FBF"/>
    <w:rsid w:val="00AD72EE"/>
    <w:rsid w:val="00AE07E2"/>
    <w:rsid w:val="00AE5865"/>
    <w:rsid w:val="00AF31E9"/>
    <w:rsid w:val="00AF515C"/>
    <w:rsid w:val="00AF5A32"/>
    <w:rsid w:val="00AF611B"/>
    <w:rsid w:val="00B00A97"/>
    <w:rsid w:val="00B03859"/>
    <w:rsid w:val="00B12981"/>
    <w:rsid w:val="00B174E6"/>
    <w:rsid w:val="00B23383"/>
    <w:rsid w:val="00B26E6A"/>
    <w:rsid w:val="00B34456"/>
    <w:rsid w:val="00B40477"/>
    <w:rsid w:val="00B416B1"/>
    <w:rsid w:val="00B417D0"/>
    <w:rsid w:val="00B425B5"/>
    <w:rsid w:val="00B432DE"/>
    <w:rsid w:val="00B441D5"/>
    <w:rsid w:val="00B451EC"/>
    <w:rsid w:val="00B4626C"/>
    <w:rsid w:val="00B51902"/>
    <w:rsid w:val="00B5412A"/>
    <w:rsid w:val="00B559D8"/>
    <w:rsid w:val="00B56FB6"/>
    <w:rsid w:val="00B61DAB"/>
    <w:rsid w:val="00B63095"/>
    <w:rsid w:val="00B642FB"/>
    <w:rsid w:val="00B6501A"/>
    <w:rsid w:val="00B652F7"/>
    <w:rsid w:val="00B657F7"/>
    <w:rsid w:val="00B706D3"/>
    <w:rsid w:val="00B70D45"/>
    <w:rsid w:val="00B7395D"/>
    <w:rsid w:val="00B73CB9"/>
    <w:rsid w:val="00B76DC1"/>
    <w:rsid w:val="00B80724"/>
    <w:rsid w:val="00B807EE"/>
    <w:rsid w:val="00B81116"/>
    <w:rsid w:val="00B81FC0"/>
    <w:rsid w:val="00B82A70"/>
    <w:rsid w:val="00B84599"/>
    <w:rsid w:val="00B93C64"/>
    <w:rsid w:val="00B95396"/>
    <w:rsid w:val="00B974CF"/>
    <w:rsid w:val="00B9768C"/>
    <w:rsid w:val="00BA11CD"/>
    <w:rsid w:val="00BA4C81"/>
    <w:rsid w:val="00BB0064"/>
    <w:rsid w:val="00BB183D"/>
    <w:rsid w:val="00BB378F"/>
    <w:rsid w:val="00BB3B60"/>
    <w:rsid w:val="00BB59C7"/>
    <w:rsid w:val="00BB6331"/>
    <w:rsid w:val="00BB6D9E"/>
    <w:rsid w:val="00BB72C9"/>
    <w:rsid w:val="00BC07B2"/>
    <w:rsid w:val="00BC082B"/>
    <w:rsid w:val="00BC27F9"/>
    <w:rsid w:val="00BC3282"/>
    <w:rsid w:val="00BC3DD4"/>
    <w:rsid w:val="00BC3FF9"/>
    <w:rsid w:val="00BC5DD7"/>
    <w:rsid w:val="00BC75AF"/>
    <w:rsid w:val="00BD09BA"/>
    <w:rsid w:val="00BD0F0A"/>
    <w:rsid w:val="00BD18B2"/>
    <w:rsid w:val="00BD24E3"/>
    <w:rsid w:val="00BD2522"/>
    <w:rsid w:val="00BD59E6"/>
    <w:rsid w:val="00BD5BC9"/>
    <w:rsid w:val="00BD76BA"/>
    <w:rsid w:val="00BE08E1"/>
    <w:rsid w:val="00BE1212"/>
    <w:rsid w:val="00BE3700"/>
    <w:rsid w:val="00BE4E80"/>
    <w:rsid w:val="00BE5841"/>
    <w:rsid w:val="00BE6926"/>
    <w:rsid w:val="00BE69E2"/>
    <w:rsid w:val="00BF190E"/>
    <w:rsid w:val="00BF2440"/>
    <w:rsid w:val="00BF5FE1"/>
    <w:rsid w:val="00C01F7C"/>
    <w:rsid w:val="00C038F7"/>
    <w:rsid w:val="00C043DE"/>
    <w:rsid w:val="00C0483F"/>
    <w:rsid w:val="00C1041E"/>
    <w:rsid w:val="00C11201"/>
    <w:rsid w:val="00C1303B"/>
    <w:rsid w:val="00C1329B"/>
    <w:rsid w:val="00C21539"/>
    <w:rsid w:val="00C2614E"/>
    <w:rsid w:val="00C30838"/>
    <w:rsid w:val="00C309F4"/>
    <w:rsid w:val="00C360EF"/>
    <w:rsid w:val="00C36566"/>
    <w:rsid w:val="00C375A6"/>
    <w:rsid w:val="00C43D03"/>
    <w:rsid w:val="00C44674"/>
    <w:rsid w:val="00C45677"/>
    <w:rsid w:val="00C50638"/>
    <w:rsid w:val="00C51053"/>
    <w:rsid w:val="00C51FC2"/>
    <w:rsid w:val="00C549C4"/>
    <w:rsid w:val="00C57186"/>
    <w:rsid w:val="00C576FD"/>
    <w:rsid w:val="00C60682"/>
    <w:rsid w:val="00C63D93"/>
    <w:rsid w:val="00C70314"/>
    <w:rsid w:val="00C72513"/>
    <w:rsid w:val="00C75162"/>
    <w:rsid w:val="00C804B9"/>
    <w:rsid w:val="00C81BD5"/>
    <w:rsid w:val="00C81D1E"/>
    <w:rsid w:val="00C82AA9"/>
    <w:rsid w:val="00C84230"/>
    <w:rsid w:val="00C845C4"/>
    <w:rsid w:val="00C93095"/>
    <w:rsid w:val="00C94AEF"/>
    <w:rsid w:val="00CA0297"/>
    <w:rsid w:val="00CA0E04"/>
    <w:rsid w:val="00CA138B"/>
    <w:rsid w:val="00CA3911"/>
    <w:rsid w:val="00CA3AE5"/>
    <w:rsid w:val="00CA40FF"/>
    <w:rsid w:val="00CA4BDE"/>
    <w:rsid w:val="00CA68EC"/>
    <w:rsid w:val="00CB2900"/>
    <w:rsid w:val="00CB3BA4"/>
    <w:rsid w:val="00CB4E6E"/>
    <w:rsid w:val="00CB6B9B"/>
    <w:rsid w:val="00CC100C"/>
    <w:rsid w:val="00CC3E67"/>
    <w:rsid w:val="00CC7B50"/>
    <w:rsid w:val="00CC7CEE"/>
    <w:rsid w:val="00CD070F"/>
    <w:rsid w:val="00CD25F0"/>
    <w:rsid w:val="00CD2C9A"/>
    <w:rsid w:val="00CD47B1"/>
    <w:rsid w:val="00CD527D"/>
    <w:rsid w:val="00CD562E"/>
    <w:rsid w:val="00CE116E"/>
    <w:rsid w:val="00CE1474"/>
    <w:rsid w:val="00CE1C19"/>
    <w:rsid w:val="00CE5078"/>
    <w:rsid w:val="00CE6BDB"/>
    <w:rsid w:val="00CF20DD"/>
    <w:rsid w:val="00CF4D48"/>
    <w:rsid w:val="00CF7140"/>
    <w:rsid w:val="00D1260C"/>
    <w:rsid w:val="00D13B4E"/>
    <w:rsid w:val="00D144B4"/>
    <w:rsid w:val="00D20265"/>
    <w:rsid w:val="00D2161A"/>
    <w:rsid w:val="00D21857"/>
    <w:rsid w:val="00D22264"/>
    <w:rsid w:val="00D22847"/>
    <w:rsid w:val="00D22A43"/>
    <w:rsid w:val="00D23F77"/>
    <w:rsid w:val="00D24F10"/>
    <w:rsid w:val="00D279A3"/>
    <w:rsid w:val="00D30A36"/>
    <w:rsid w:val="00D30ED3"/>
    <w:rsid w:val="00D31CF0"/>
    <w:rsid w:val="00D341B8"/>
    <w:rsid w:val="00D35147"/>
    <w:rsid w:val="00D36AC8"/>
    <w:rsid w:val="00D3741D"/>
    <w:rsid w:val="00D37948"/>
    <w:rsid w:val="00D425C6"/>
    <w:rsid w:val="00D42CDF"/>
    <w:rsid w:val="00D439D4"/>
    <w:rsid w:val="00D45A0A"/>
    <w:rsid w:val="00D46805"/>
    <w:rsid w:val="00D47974"/>
    <w:rsid w:val="00D52119"/>
    <w:rsid w:val="00D54D62"/>
    <w:rsid w:val="00D61B25"/>
    <w:rsid w:val="00D61E89"/>
    <w:rsid w:val="00D621F6"/>
    <w:rsid w:val="00D6436E"/>
    <w:rsid w:val="00D67013"/>
    <w:rsid w:val="00D75AF2"/>
    <w:rsid w:val="00D76D8B"/>
    <w:rsid w:val="00D81C9E"/>
    <w:rsid w:val="00D82516"/>
    <w:rsid w:val="00D82915"/>
    <w:rsid w:val="00D83DA5"/>
    <w:rsid w:val="00D8583D"/>
    <w:rsid w:val="00D862BB"/>
    <w:rsid w:val="00D95E46"/>
    <w:rsid w:val="00D9655C"/>
    <w:rsid w:val="00D96C94"/>
    <w:rsid w:val="00DA07CF"/>
    <w:rsid w:val="00DA0990"/>
    <w:rsid w:val="00DA2453"/>
    <w:rsid w:val="00DA5268"/>
    <w:rsid w:val="00DA6BA9"/>
    <w:rsid w:val="00DB2455"/>
    <w:rsid w:val="00DB3BA0"/>
    <w:rsid w:val="00DB4ED5"/>
    <w:rsid w:val="00DB5BCE"/>
    <w:rsid w:val="00DB61FE"/>
    <w:rsid w:val="00DC5C95"/>
    <w:rsid w:val="00DD2E64"/>
    <w:rsid w:val="00DD462A"/>
    <w:rsid w:val="00DD77DC"/>
    <w:rsid w:val="00DD7B4B"/>
    <w:rsid w:val="00DE0431"/>
    <w:rsid w:val="00DE076D"/>
    <w:rsid w:val="00DE3498"/>
    <w:rsid w:val="00DE6A38"/>
    <w:rsid w:val="00DE7AD7"/>
    <w:rsid w:val="00DF2AE6"/>
    <w:rsid w:val="00DF3FF4"/>
    <w:rsid w:val="00DF5C16"/>
    <w:rsid w:val="00DF7BDC"/>
    <w:rsid w:val="00E06C2B"/>
    <w:rsid w:val="00E07416"/>
    <w:rsid w:val="00E121F5"/>
    <w:rsid w:val="00E12C9B"/>
    <w:rsid w:val="00E13C85"/>
    <w:rsid w:val="00E1449C"/>
    <w:rsid w:val="00E147A0"/>
    <w:rsid w:val="00E17E40"/>
    <w:rsid w:val="00E2032B"/>
    <w:rsid w:val="00E2051A"/>
    <w:rsid w:val="00E24BD7"/>
    <w:rsid w:val="00E25185"/>
    <w:rsid w:val="00E27950"/>
    <w:rsid w:val="00E279A6"/>
    <w:rsid w:val="00E358FA"/>
    <w:rsid w:val="00E3678F"/>
    <w:rsid w:val="00E370A3"/>
    <w:rsid w:val="00E37675"/>
    <w:rsid w:val="00E428DE"/>
    <w:rsid w:val="00E430A0"/>
    <w:rsid w:val="00E43272"/>
    <w:rsid w:val="00E458B1"/>
    <w:rsid w:val="00E470B1"/>
    <w:rsid w:val="00E47663"/>
    <w:rsid w:val="00E5144C"/>
    <w:rsid w:val="00E535F8"/>
    <w:rsid w:val="00E54394"/>
    <w:rsid w:val="00E55F48"/>
    <w:rsid w:val="00E56E82"/>
    <w:rsid w:val="00E61BFB"/>
    <w:rsid w:val="00E62C87"/>
    <w:rsid w:val="00E64AAC"/>
    <w:rsid w:val="00E66A9B"/>
    <w:rsid w:val="00E67524"/>
    <w:rsid w:val="00E677E2"/>
    <w:rsid w:val="00E704E1"/>
    <w:rsid w:val="00E70DF9"/>
    <w:rsid w:val="00E72815"/>
    <w:rsid w:val="00E7353A"/>
    <w:rsid w:val="00E74BEA"/>
    <w:rsid w:val="00E82265"/>
    <w:rsid w:val="00E8291E"/>
    <w:rsid w:val="00E82F35"/>
    <w:rsid w:val="00E8331A"/>
    <w:rsid w:val="00E846D4"/>
    <w:rsid w:val="00E85AA4"/>
    <w:rsid w:val="00E85F49"/>
    <w:rsid w:val="00E93A4B"/>
    <w:rsid w:val="00E94934"/>
    <w:rsid w:val="00E94F48"/>
    <w:rsid w:val="00E94F69"/>
    <w:rsid w:val="00E96149"/>
    <w:rsid w:val="00E97158"/>
    <w:rsid w:val="00E9792D"/>
    <w:rsid w:val="00EA0DF6"/>
    <w:rsid w:val="00EA10B8"/>
    <w:rsid w:val="00EA117B"/>
    <w:rsid w:val="00EA147B"/>
    <w:rsid w:val="00EA1911"/>
    <w:rsid w:val="00EA3A0D"/>
    <w:rsid w:val="00EA525E"/>
    <w:rsid w:val="00EA55D4"/>
    <w:rsid w:val="00EA6771"/>
    <w:rsid w:val="00EA6DF4"/>
    <w:rsid w:val="00EA7603"/>
    <w:rsid w:val="00EA76F9"/>
    <w:rsid w:val="00EB097B"/>
    <w:rsid w:val="00EB19BA"/>
    <w:rsid w:val="00EB2287"/>
    <w:rsid w:val="00EB4117"/>
    <w:rsid w:val="00EB51CB"/>
    <w:rsid w:val="00EB580C"/>
    <w:rsid w:val="00EC3E2B"/>
    <w:rsid w:val="00EC4FE5"/>
    <w:rsid w:val="00ED0425"/>
    <w:rsid w:val="00ED0BA5"/>
    <w:rsid w:val="00ED3088"/>
    <w:rsid w:val="00ED701E"/>
    <w:rsid w:val="00ED7802"/>
    <w:rsid w:val="00ED7923"/>
    <w:rsid w:val="00EE339E"/>
    <w:rsid w:val="00EE3F57"/>
    <w:rsid w:val="00EE45D7"/>
    <w:rsid w:val="00EF0F2F"/>
    <w:rsid w:val="00EF30D2"/>
    <w:rsid w:val="00EF34C6"/>
    <w:rsid w:val="00EF5577"/>
    <w:rsid w:val="00EF60B7"/>
    <w:rsid w:val="00EF6628"/>
    <w:rsid w:val="00F00D7B"/>
    <w:rsid w:val="00F05199"/>
    <w:rsid w:val="00F052F8"/>
    <w:rsid w:val="00F06D27"/>
    <w:rsid w:val="00F10B6D"/>
    <w:rsid w:val="00F131A2"/>
    <w:rsid w:val="00F13E8A"/>
    <w:rsid w:val="00F14525"/>
    <w:rsid w:val="00F1559B"/>
    <w:rsid w:val="00F1614B"/>
    <w:rsid w:val="00F16A82"/>
    <w:rsid w:val="00F20505"/>
    <w:rsid w:val="00F242E4"/>
    <w:rsid w:val="00F2443E"/>
    <w:rsid w:val="00F24E46"/>
    <w:rsid w:val="00F257E7"/>
    <w:rsid w:val="00F26A4E"/>
    <w:rsid w:val="00F26C2C"/>
    <w:rsid w:val="00F2781A"/>
    <w:rsid w:val="00F3030B"/>
    <w:rsid w:val="00F30674"/>
    <w:rsid w:val="00F327A7"/>
    <w:rsid w:val="00F33346"/>
    <w:rsid w:val="00F35AAE"/>
    <w:rsid w:val="00F40645"/>
    <w:rsid w:val="00F40BB4"/>
    <w:rsid w:val="00F420D4"/>
    <w:rsid w:val="00F42354"/>
    <w:rsid w:val="00F43AE8"/>
    <w:rsid w:val="00F44B98"/>
    <w:rsid w:val="00F44CCC"/>
    <w:rsid w:val="00F47CA6"/>
    <w:rsid w:val="00F5147B"/>
    <w:rsid w:val="00F52FC1"/>
    <w:rsid w:val="00F53826"/>
    <w:rsid w:val="00F53BEE"/>
    <w:rsid w:val="00F55E02"/>
    <w:rsid w:val="00F571A9"/>
    <w:rsid w:val="00F6047A"/>
    <w:rsid w:val="00F60B65"/>
    <w:rsid w:val="00F62155"/>
    <w:rsid w:val="00F647C4"/>
    <w:rsid w:val="00F6525D"/>
    <w:rsid w:val="00F669C5"/>
    <w:rsid w:val="00F66BEE"/>
    <w:rsid w:val="00F7283C"/>
    <w:rsid w:val="00F72D1E"/>
    <w:rsid w:val="00F737FD"/>
    <w:rsid w:val="00F74280"/>
    <w:rsid w:val="00F74841"/>
    <w:rsid w:val="00F832B1"/>
    <w:rsid w:val="00F83E41"/>
    <w:rsid w:val="00F84664"/>
    <w:rsid w:val="00F8497D"/>
    <w:rsid w:val="00F8659B"/>
    <w:rsid w:val="00F868A0"/>
    <w:rsid w:val="00F86E1F"/>
    <w:rsid w:val="00F95D8E"/>
    <w:rsid w:val="00F96998"/>
    <w:rsid w:val="00F9799F"/>
    <w:rsid w:val="00FA0B23"/>
    <w:rsid w:val="00FA2B3B"/>
    <w:rsid w:val="00FA2B91"/>
    <w:rsid w:val="00FA2D50"/>
    <w:rsid w:val="00FA40C8"/>
    <w:rsid w:val="00FA6038"/>
    <w:rsid w:val="00FB04B0"/>
    <w:rsid w:val="00FB36DE"/>
    <w:rsid w:val="00FB3898"/>
    <w:rsid w:val="00FB4B50"/>
    <w:rsid w:val="00FB4E91"/>
    <w:rsid w:val="00FB5485"/>
    <w:rsid w:val="00FB5C4E"/>
    <w:rsid w:val="00FC133E"/>
    <w:rsid w:val="00FC15EE"/>
    <w:rsid w:val="00FC1BDC"/>
    <w:rsid w:val="00FC23A1"/>
    <w:rsid w:val="00FC40B4"/>
    <w:rsid w:val="00FC4C63"/>
    <w:rsid w:val="00FD30C5"/>
    <w:rsid w:val="00FD5C72"/>
    <w:rsid w:val="00FE5300"/>
    <w:rsid w:val="00FE6CE9"/>
    <w:rsid w:val="00FE7B4F"/>
    <w:rsid w:val="00FF0E7B"/>
    <w:rsid w:val="00FF1A25"/>
    <w:rsid w:val="00FF6CBA"/>
    <w:rsid w:val="31A41B1B"/>
    <w:rsid w:val="344A66DE"/>
    <w:rsid w:val="44E98477"/>
    <w:rsid w:val="53EE9BEE"/>
    <w:rsid w:val="67F66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3B1BB"/>
  <w15:docId w15:val="{4050A613-C840-4AA0-A9C0-6365F244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A83"/>
    <w:pPr>
      <w:spacing w:after="200"/>
    </w:pPr>
    <w:rPr>
      <w:rFonts w:eastAsiaTheme="minorEastAsia"/>
      <w:sz w:val="24"/>
      <w:szCs w:val="20"/>
      <w:lang w:val="en-US" w:eastAsia="ja-JP"/>
    </w:rPr>
  </w:style>
  <w:style w:type="paragraph" w:styleId="Heading1">
    <w:name w:val="heading 1"/>
    <w:basedOn w:val="Normal"/>
    <w:next w:val="Normal"/>
    <w:link w:val="Heading1Char"/>
    <w:uiPriority w:val="9"/>
    <w:qFormat/>
    <w:rsid w:val="00075A83"/>
    <w:pPr>
      <w:spacing w:after="0" w:line="660" w:lineRule="exact"/>
      <w:outlineLvl w:val="0"/>
    </w:pPr>
    <w:rPr>
      <w:rFonts w:ascii="Arial" w:hAnsi="Arial" w:cs="Arial"/>
      <w:b/>
      <w:sz w:val="28"/>
      <w:szCs w:val="28"/>
      <w:lang w:val="en-GB" w:eastAsia="en-US"/>
    </w:rPr>
  </w:style>
  <w:style w:type="paragraph" w:styleId="Heading2">
    <w:name w:val="heading 2"/>
    <w:basedOn w:val="Normal"/>
    <w:next w:val="Normal"/>
    <w:link w:val="Heading2Char"/>
    <w:uiPriority w:val="9"/>
    <w:unhideWhenUsed/>
    <w:qFormat/>
    <w:rsid w:val="003011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A83"/>
    <w:rPr>
      <w:rFonts w:ascii="Arial" w:eastAsiaTheme="minorEastAsia" w:hAnsi="Arial" w:cs="Arial"/>
      <w:b/>
      <w:sz w:val="28"/>
      <w:szCs w:val="28"/>
    </w:rPr>
  </w:style>
  <w:style w:type="table" w:styleId="TableGrid">
    <w:name w:val="Table Grid"/>
    <w:basedOn w:val="TableNormal"/>
    <w:rsid w:val="00075A8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 (Alterline)"/>
    <w:basedOn w:val="Normal"/>
    <w:uiPriority w:val="34"/>
    <w:qFormat/>
    <w:rsid w:val="00075A83"/>
    <w:pPr>
      <w:spacing w:after="0"/>
      <w:ind w:left="720"/>
    </w:pPr>
    <w:rPr>
      <w:rFonts w:ascii="Times New Roman" w:eastAsia="Times New Roman" w:hAnsi="Times New Roman" w:cs="Times New Roman"/>
      <w:szCs w:val="24"/>
      <w:lang w:val="en-GB" w:eastAsia="en-GB"/>
    </w:rPr>
  </w:style>
  <w:style w:type="paragraph" w:styleId="BodyText">
    <w:name w:val="Body Text"/>
    <w:basedOn w:val="Normal"/>
    <w:link w:val="BodyTextChar"/>
    <w:rsid w:val="00F40BB4"/>
    <w:pPr>
      <w:spacing w:after="0"/>
    </w:pPr>
    <w:rPr>
      <w:rFonts w:ascii="Arial" w:eastAsia="Times New Roman" w:hAnsi="Arial" w:cs="Arial"/>
      <w:sz w:val="22"/>
      <w:szCs w:val="22"/>
      <w:lang w:val="en-GB" w:eastAsia="en-US"/>
    </w:rPr>
  </w:style>
  <w:style w:type="character" w:customStyle="1" w:styleId="BodyTextChar">
    <w:name w:val="Body Text Char"/>
    <w:basedOn w:val="DefaultParagraphFont"/>
    <w:link w:val="BodyText"/>
    <w:rsid w:val="00F40BB4"/>
    <w:rPr>
      <w:rFonts w:ascii="Arial" w:eastAsia="Times New Roman" w:hAnsi="Arial" w:cs="Arial"/>
    </w:rPr>
  </w:style>
  <w:style w:type="paragraph" w:styleId="BodyTextIndent">
    <w:name w:val="Body Text Indent"/>
    <w:basedOn w:val="Normal"/>
    <w:link w:val="BodyTextIndentChar"/>
    <w:rsid w:val="00362482"/>
    <w:pPr>
      <w:spacing w:after="120"/>
      <w:ind w:left="283"/>
    </w:pPr>
    <w:rPr>
      <w:rFonts w:ascii="Times New Roman" w:eastAsia="Times New Roman" w:hAnsi="Times New Roman" w:cs="Times New Roman"/>
      <w:szCs w:val="24"/>
      <w:lang w:val="en-GB" w:eastAsia="en-GB"/>
    </w:rPr>
  </w:style>
  <w:style w:type="character" w:customStyle="1" w:styleId="BodyTextIndentChar">
    <w:name w:val="Body Text Indent Char"/>
    <w:basedOn w:val="DefaultParagraphFont"/>
    <w:link w:val="BodyTextIndent"/>
    <w:rsid w:val="00362482"/>
    <w:rPr>
      <w:rFonts w:ascii="Times New Roman" w:eastAsia="Times New Roman" w:hAnsi="Times New Roman" w:cs="Times New Roman"/>
      <w:sz w:val="24"/>
      <w:szCs w:val="24"/>
      <w:lang w:eastAsia="en-GB"/>
    </w:rPr>
  </w:style>
  <w:style w:type="paragraph" w:customStyle="1" w:styleId="TitleV5">
    <w:name w:val="Title V5"/>
    <w:basedOn w:val="Normal"/>
    <w:next w:val="Normal"/>
    <w:qFormat/>
    <w:rsid w:val="00DE3498"/>
    <w:pPr>
      <w:numPr>
        <w:ilvl w:val="1"/>
        <w:numId w:val="3"/>
      </w:numPr>
      <w:spacing w:after="0"/>
    </w:pPr>
    <w:rPr>
      <w:rFonts w:ascii="Arial" w:eastAsia="Times New Roman" w:hAnsi="Arial" w:cs="Arial"/>
      <w:b/>
      <w:color w:val="08A87E"/>
      <w:sz w:val="22"/>
      <w:lang w:val="en-GB" w:eastAsia="en-GB"/>
    </w:rPr>
  </w:style>
  <w:style w:type="paragraph" w:customStyle="1" w:styleId="Default">
    <w:name w:val="Default"/>
    <w:rsid w:val="00DE3498"/>
    <w:pPr>
      <w:autoSpaceDE w:val="0"/>
      <w:autoSpaceDN w:val="0"/>
      <w:adjustRightInd w:val="0"/>
    </w:pPr>
    <w:rPr>
      <w:rFonts w:ascii="Syntax" w:eastAsia="MS ??" w:hAnsi="Syntax" w:cs="Syntax"/>
      <w:color w:val="000000"/>
      <w:sz w:val="24"/>
      <w:szCs w:val="24"/>
      <w:lang w:eastAsia="en-GB"/>
    </w:rPr>
  </w:style>
  <w:style w:type="paragraph" w:customStyle="1" w:styleId="DHTitle">
    <w:name w:val="DH Title"/>
    <w:basedOn w:val="Normal"/>
    <w:link w:val="DHTitleChar"/>
    <w:rsid w:val="00DE3498"/>
    <w:pPr>
      <w:spacing w:after="0" w:line="660" w:lineRule="exact"/>
    </w:pPr>
    <w:rPr>
      <w:rFonts w:ascii="Arial" w:eastAsia="MS Mincho" w:hAnsi="Arial" w:cs="Times New Roman"/>
      <w:b/>
      <w:color w:val="009966"/>
      <w:sz w:val="60"/>
      <w:lang w:eastAsia="en-US"/>
    </w:rPr>
  </w:style>
  <w:style w:type="character" w:customStyle="1" w:styleId="DHTitleChar">
    <w:name w:val="DH Title Char"/>
    <w:link w:val="DHTitle"/>
    <w:locked/>
    <w:rsid w:val="00DE3498"/>
    <w:rPr>
      <w:rFonts w:ascii="Arial" w:eastAsia="MS Mincho" w:hAnsi="Arial" w:cs="Times New Roman"/>
      <w:b/>
      <w:color w:val="009966"/>
      <w:sz w:val="60"/>
      <w:szCs w:val="20"/>
    </w:rPr>
  </w:style>
  <w:style w:type="paragraph" w:styleId="BalloonText">
    <w:name w:val="Balloon Text"/>
    <w:basedOn w:val="Normal"/>
    <w:link w:val="BalloonTextChar"/>
    <w:uiPriority w:val="99"/>
    <w:semiHidden/>
    <w:unhideWhenUsed/>
    <w:rsid w:val="00482C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C6E"/>
    <w:rPr>
      <w:rFonts w:ascii="Tahoma" w:eastAsiaTheme="minorEastAsia" w:hAnsi="Tahoma" w:cs="Tahoma"/>
      <w:sz w:val="16"/>
      <w:szCs w:val="16"/>
      <w:lang w:val="en-US" w:eastAsia="ja-JP"/>
    </w:rPr>
  </w:style>
  <w:style w:type="character" w:styleId="CommentReference">
    <w:name w:val="annotation reference"/>
    <w:basedOn w:val="DefaultParagraphFont"/>
    <w:uiPriority w:val="99"/>
    <w:semiHidden/>
    <w:unhideWhenUsed/>
    <w:rsid w:val="00C36566"/>
    <w:rPr>
      <w:sz w:val="16"/>
      <w:szCs w:val="16"/>
    </w:rPr>
  </w:style>
  <w:style w:type="paragraph" w:styleId="CommentText">
    <w:name w:val="annotation text"/>
    <w:basedOn w:val="Normal"/>
    <w:link w:val="CommentTextChar"/>
    <w:uiPriority w:val="99"/>
    <w:semiHidden/>
    <w:unhideWhenUsed/>
    <w:rsid w:val="00C36566"/>
    <w:rPr>
      <w:sz w:val="20"/>
    </w:rPr>
  </w:style>
  <w:style w:type="character" w:customStyle="1" w:styleId="CommentTextChar">
    <w:name w:val="Comment Text Char"/>
    <w:basedOn w:val="DefaultParagraphFont"/>
    <w:link w:val="CommentText"/>
    <w:uiPriority w:val="99"/>
    <w:semiHidden/>
    <w:rsid w:val="00C36566"/>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C36566"/>
    <w:rPr>
      <w:b/>
      <w:bCs/>
    </w:rPr>
  </w:style>
  <w:style w:type="character" w:customStyle="1" w:styleId="CommentSubjectChar">
    <w:name w:val="Comment Subject Char"/>
    <w:basedOn w:val="CommentTextChar"/>
    <w:link w:val="CommentSubject"/>
    <w:uiPriority w:val="99"/>
    <w:semiHidden/>
    <w:rsid w:val="00C36566"/>
    <w:rPr>
      <w:rFonts w:eastAsiaTheme="minorEastAsia"/>
      <w:b/>
      <w:bCs/>
      <w:sz w:val="20"/>
      <w:szCs w:val="20"/>
      <w:lang w:val="en-US" w:eastAsia="ja-JP"/>
    </w:rPr>
  </w:style>
  <w:style w:type="character" w:styleId="Hyperlink">
    <w:name w:val="Hyperlink"/>
    <w:basedOn w:val="DefaultParagraphFont"/>
    <w:uiPriority w:val="99"/>
    <w:unhideWhenUsed/>
    <w:rsid w:val="008F3DED"/>
    <w:rPr>
      <w:color w:val="0000FF" w:themeColor="hyperlink"/>
      <w:u w:val="single"/>
    </w:rPr>
  </w:style>
  <w:style w:type="character" w:styleId="FollowedHyperlink">
    <w:name w:val="FollowedHyperlink"/>
    <w:basedOn w:val="DefaultParagraphFont"/>
    <w:uiPriority w:val="99"/>
    <w:semiHidden/>
    <w:unhideWhenUsed/>
    <w:rsid w:val="008F3DED"/>
    <w:rPr>
      <w:color w:val="800080" w:themeColor="followedHyperlink"/>
      <w:u w:val="single"/>
    </w:rPr>
  </w:style>
  <w:style w:type="paragraph" w:styleId="EndnoteText">
    <w:name w:val="endnote text"/>
    <w:basedOn w:val="Normal"/>
    <w:link w:val="EndnoteTextChar"/>
    <w:uiPriority w:val="99"/>
    <w:unhideWhenUsed/>
    <w:rsid w:val="00443B52"/>
    <w:pPr>
      <w:spacing w:after="0"/>
    </w:pPr>
    <w:rPr>
      <w:sz w:val="20"/>
    </w:rPr>
  </w:style>
  <w:style w:type="character" w:customStyle="1" w:styleId="EndnoteTextChar">
    <w:name w:val="Endnote Text Char"/>
    <w:basedOn w:val="DefaultParagraphFont"/>
    <w:link w:val="EndnoteText"/>
    <w:uiPriority w:val="99"/>
    <w:rsid w:val="00443B52"/>
    <w:rPr>
      <w:rFonts w:eastAsiaTheme="minorEastAsia"/>
      <w:sz w:val="20"/>
      <w:szCs w:val="20"/>
      <w:lang w:val="en-US" w:eastAsia="ja-JP"/>
    </w:rPr>
  </w:style>
  <w:style w:type="character" w:styleId="EndnoteReference">
    <w:name w:val="endnote reference"/>
    <w:basedOn w:val="DefaultParagraphFont"/>
    <w:uiPriority w:val="99"/>
    <w:unhideWhenUsed/>
    <w:rsid w:val="00443B52"/>
    <w:rPr>
      <w:vertAlign w:val="superscript"/>
    </w:rPr>
  </w:style>
  <w:style w:type="paragraph" w:customStyle="1" w:styleId="Mainheading">
    <w:name w:val="Main heading"/>
    <w:basedOn w:val="Normal"/>
    <w:qFormat/>
    <w:rsid w:val="0026228C"/>
    <w:pPr>
      <w:spacing w:before="120" w:after="120"/>
    </w:pPr>
    <w:rPr>
      <w:rFonts w:ascii="Calibri" w:hAnsi="Calibri" w:cs="Arial"/>
      <w:color w:val="F79646"/>
      <w:sz w:val="36"/>
      <w:szCs w:val="36"/>
      <w:lang w:val="en-GB"/>
    </w:rPr>
  </w:style>
  <w:style w:type="paragraph" w:customStyle="1" w:styleId="Sub-heading">
    <w:name w:val="Sub-heading"/>
    <w:basedOn w:val="Normal"/>
    <w:qFormat/>
    <w:rsid w:val="0026228C"/>
    <w:pPr>
      <w:numPr>
        <w:ilvl w:val="1"/>
        <w:numId w:val="1"/>
      </w:numPr>
      <w:spacing w:before="120" w:after="120"/>
      <w:ind w:left="357" w:hanging="357"/>
    </w:pPr>
    <w:rPr>
      <w:rFonts w:cs="Arial"/>
      <w:b/>
      <w:color w:val="009966"/>
      <w:sz w:val="28"/>
      <w:szCs w:val="28"/>
      <w:lang w:val="en-GB"/>
    </w:rPr>
  </w:style>
  <w:style w:type="paragraph" w:customStyle="1" w:styleId="Body1">
    <w:name w:val="Body 1"/>
    <w:basedOn w:val="Normal"/>
    <w:qFormat/>
    <w:rsid w:val="0026228C"/>
    <w:pPr>
      <w:spacing w:after="120"/>
      <w:ind w:left="357"/>
    </w:pPr>
    <w:rPr>
      <w:rFonts w:cs="Arial"/>
      <w:color w:val="000000" w:themeColor="text1"/>
      <w:sz w:val="22"/>
      <w:szCs w:val="22"/>
      <w:lang w:val="en-GB"/>
    </w:rPr>
  </w:style>
  <w:style w:type="paragraph" w:styleId="NormalWeb">
    <w:name w:val="Normal (Web)"/>
    <w:basedOn w:val="Normal"/>
    <w:uiPriority w:val="99"/>
    <w:semiHidden/>
    <w:unhideWhenUsed/>
    <w:rsid w:val="00194D0B"/>
    <w:pPr>
      <w:spacing w:before="100" w:beforeAutospacing="1" w:after="100" w:afterAutospacing="1"/>
    </w:pPr>
    <w:rPr>
      <w:rFonts w:ascii="Times New Roman" w:hAnsi="Times New Roman" w:cs="Times New Roman"/>
      <w:szCs w:val="24"/>
      <w:lang w:val="en-GB" w:eastAsia="en-GB"/>
    </w:rPr>
  </w:style>
  <w:style w:type="paragraph" w:styleId="Header">
    <w:name w:val="header"/>
    <w:basedOn w:val="Normal"/>
    <w:link w:val="HeaderChar"/>
    <w:uiPriority w:val="99"/>
    <w:unhideWhenUsed/>
    <w:rsid w:val="00236B23"/>
    <w:pPr>
      <w:tabs>
        <w:tab w:val="center" w:pos="4513"/>
        <w:tab w:val="right" w:pos="9026"/>
      </w:tabs>
      <w:spacing w:after="0"/>
    </w:pPr>
    <w:rPr>
      <w:rFonts w:eastAsiaTheme="minorHAnsi"/>
      <w:sz w:val="22"/>
      <w:szCs w:val="22"/>
      <w:lang w:val="en-GB" w:eastAsia="en-US"/>
    </w:rPr>
  </w:style>
  <w:style w:type="character" w:customStyle="1" w:styleId="HeaderChar">
    <w:name w:val="Header Char"/>
    <w:basedOn w:val="DefaultParagraphFont"/>
    <w:link w:val="Header"/>
    <w:uiPriority w:val="99"/>
    <w:rsid w:val="00236B23"/>
  </w:style>
  <w:style w:type="character" w:customStyle="1" w:styleId="apple-converted-space">
    <w:name w:val="apple-converted-space"/>
    <w:rsid w:val="00B451EC"/>
  </w:style>
  <w:style w:type="character" w:styleId="Emphasis">
    <w:name w:val="Emphasis"/>
    <w:basedOn w:val="DefaultParagraphFont"/>
    <w:uiPriority w:val="20"/>
    <w:qFormat/>
    <w:rsid w:val="00B451EC"/>
    <w:rPr>
      <w:i/>
      <w:iCs/>
    </w:rPr>
  </w:style>
  <w:style w:type="character" w:customStyle="1" w:styleId="prod-title2">
    <w:name w:val="prod-title2"/>
    <w:basedOn w:val="DefaultParagraphFont"/>
    <w:rsid w:val="00AB0550"/>
  </w:style>
  <w:style w:type="character" w:customStyle="1" w:styleId="mainheader1">
    <w:name w:val="mainheader1"/>
    <w:basedOn w:val="DefaultParagraphFont"/>
    <w:rsid w:val="00AB0550"/>
    <w:rPr>
      <w:rFonts w:ascii="Arial" w:hAnsi="Arial" w:cs="Arial" w:hint="default"/>
      <w:b/>
      <w:bCs/>
      <w:caps/>
      <w:smallCaps/>
      <w:color w:val="026849"/>
      <w:sz w:val="21"/>
      <w:szCs w:val="21"/>
    </w:rPr>
  </w:style>
  <w:style w:type="paragraph" w:styleId="Footer">
    <w:name w:val="footer"/>
    <w:basedOn w:val="Normal"/>
    <w:link w:val="FooterChar"/>
    <w:uiPriority w:val="99"/>
    <w:unhideWhenUsed/>
    <w:rsid w:val="00AD0A83"/>
    <w:pPr>
      <w:tabs>
        <w:tab w:val="center" w:pos="4680"/>
        <w:tab w:val="right" w:pos="9360"/>
      </w:tabs>
      <w:spacing w:after="0"/>
    </w:pPr>
  </w:style>
  <w:style w:type="character" w:customStyle="1" w:styleId="FooterChar">
    <w:name w:val="Footer Char"/>
    <w:basedOn w:val="DefaultParagraphFont"/>
    <w:link w:val="Footer"/>
    <w:uiPriority w:val="99"/>
    <w:rsid w:val="00AD0A83"/>
    <w:rPr>
      <w:rFonts w:eastAsiaTheme="minorEastAsia"/>
      <w:sz w:val="24"/>
      <w:szCs w:val="20"/>
      <w:lang w:val="en-US" w:eastAsia="ja-JP"/>
    </w:rPr>
  </w:style>
  <w:style w:type="paragraph" w:styleId="Revision">
    <w:name w:val="Revision"/>
    <w:hidden/>
    <w:uiPriority w:val="99"/>
    <w:semiHidden/>
    <w:rsid w:val="00EC3E2B"/>
    <w:rPr>
      <w:rFonts w:eastAsiaTheme="minorEastAsia"/>
      <w:sz w:val="24"/>
      <w:szCs w:val="20"/>
      <w:lang w:val="en-US" w:eastAsia="ja-JP"/>
    </w:rPr>
  </w:style>
  <w:style w:type="paragraph" w:styleId="FootnoteText">
    <w:name w:val="footnote text"/>
    <w:basedOn w:val="Normal"/>
    <w:link w:val="FootnoteTextChar"/>
    <w:uiPriority w:val="99"/>
    <w:semiHidden/>
    <w:unhideWhenUsed/>
    <w:rsid w:val="00ED701E"/>
    <w:pPr>
      <w:spacing w:after="0"/>
    </w:pPr>
    <w:rPr>
      <w:sz w:val="20"/>
    </w:rPr>
  </w:style>
  <w:style w:type="character" w:customStyle="1" w:styleId="FootnoteTextChar">
    <w:name w:val="Footnote Text Char"/>
    <w:basedOn w:val="DefaultParagraphFont"/>
    <w:link w:val="FootnoteText"/>
    <w:uiPriority w:val="99"/>
    <w:semiHidden/>
    <w:rsid w:val="00ED701E"/>
    <w:rPr>
      <w:rFonts w:eastAsiaTheme="minorEastAsia"/>
      <w:sz w:val="20"/>
      <w:szCs w:val="20"/>
      <w:lang w:val="en-US" w:eastAsia="ja-JP"/>
    </w:rPr>
  </w:style>
  <w:style w:type="character" w:styleId="FootnoteReference">
    <w:name w:val="footnote reference"/>
    <w:basedOn w:val="DefaultParagraphFont"/>
    <w:uiPriority w:val="99"/>
    <w:semiHidden/>
    <w:unhideWhenUsed/>
    <w:rsid w:val="00ED701E"/>
    <w:rPr>
      <w:vertAlign w:val="superscript"/>
    </w:rPr>
  </w:style>
  <w:style w:type="character" w:customStyle="1" w:styleId="Heading2Char">
    <w:name w:val="Heading 2 Char"/>
    <w:basedOn w:val="DefaultParagraphFont"/>
    <w:link w:val="Heading2"/>
    <w:uiPriority w:val="9"/>
    <w:rsid w:val="003011B1"/>
    <w:rPr>
      <w:rFonts w:asciiTheme="majorHAnsi" w:eastAsiaTheme="majorEastAsia" w:hAnsiTheme="majorHAnsi" w:cstheme="majorBidi"/>
      <w:color w:val="365F91" w:themeColor="accent1" w:themeShade="BF"/>
      <w:sz w:val="26"/>
      <w:szCs w:val="26"/>
      <w:lang w:val="en-US" w:eastAsia="ja-JP"/>
    </w:rPr>
  </w:style>
  <w:style w:type="character" w:customStyle="1" w:styleId="element-citation">
    <w:name w:val="element-citation"/>
    <w:rsid w:val="004F5FB8"/>
  </w:style>
  <w:style w:type="character" w:customStyle="1" w:styleId="ref-journal">
    <w:name w:val="ref-journal"/>
    <w:rsid w:val="004F5FB8"/>
  </w:style>
  <w:style w:type="character" w:customStyle="1" w:styleId="ref-vol">
    <w:name w:val="ref-vol"/>
    <w:rsid w:val="004F5FB8"/>
  </w:style>
  <w:style w:type="character" w:styleId="Mention">
    <w:name w:val="Mention"/>
    <w:basedOn w:val="DefaultParagraphFont"/>
    <w:uiPriority w:val="99"/>
    <w:semiHidden/>
    <w:unhideWhenUsed/>
    <w:rsid w:val="00045F2C"/>
    <w:rPr>
      <w:color w:val="2B579A"/>
      <w:shd w:val="clear" w:color="auto" w:fill="E6E6E6"/>
    </w:rPr>
  </w:style>
  <w:style w:type="character" w:customStyle="1" w:styleId="A4">
    <w:name w:val="A4"/>
    <w:uiPriority w:val="99"/>
    <w:rsid w:val="00250E6F"/>
    <w:rPr>
      <w:rFonts w:cs="Syntax"/>
      <w:color w:val="000000"/>
      <w:sz w:val="14"/>
      <w:szCs w:val="14"/>
    </w:rPr>
  </w:style>
  <w:style w:type="character" w:customStyle="1" w:styleId="prod-title">
    <w:name w:val="prod-title"/>
    <w:basedOn w:val="DefaultParagraphFont"/>
    <w:rsid w:val="00AC2FF1"/>
  </w:style>
  <w:style w:type="character" w:customStyle="1" w:styleId="published-date">
    <w:name w:val="published-date"/>
    <w:basedOn w:val="DefaultParagraphFont"/>
    <w:rsid w:val="00AC2FF1"/>
  </w:style>
  <w:style w:type="character" w:customStyle="1" w:styleId="publisheddate">
    <w:name w:val="publisheddate"/>
    <w:basedOn w:val="DefaultParagraphFont"/>
    <w:rsid w:val="000D570C"/>
  </w:style>
  <w:style w:type="character" w:customStyle="1" w:styleId="A2">
    <w:name w:val="A2"/>
    <w:uiPriority w:val="99"/>
    <w:rsid w:val="00A91B58"/>
    <w:rPr>
      <w:rFonts w:cs="Aileron SemiBold"/>
      <w:b/>
      <w:bCs/>
      <w:color w:val="000000"/>
      <w:sz w:val="50"/>
      <w:szCs w:val="50"/>
    </w:rPr>
  </w:style>
  <w:style w:type="character" w:styleId="UnresolvedMention">
    <w:name w:val="Unresolved Mention"/>
    <w:basedOn w:val="DefaultParagraphFont"/>
    <w:uiPriority w:val="99"/>
    <w:semiHidden/>
    <w:unhideWhenUsed/>
    <w:rsid w:val="002729D2"/>
    <w:rPr>
      <w:color w:val="808080"/>
      <w:shd w:val="clear" w:color="auto" w:fill="E6E6E6"/>
    </w:rPr>
  </w:style>
  <w:style w:type="paragraph" w:styleId="BodyText2">
    <w:name w:val="Body Text 2"/>
    <w:basedOn w:val="Normal"/>
    <w:link w:val="BodyText2Char"/>
    <w:uiPriority w:val="99"/>
    <w:unhideWhenUsed/>
    <w:rsid w:val="00837011"/>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rsid w:val="00837011"/>
    <w:rPr>
      <w:rFonts w:ascii="Calibri" w:eastAsia="Times New Roman" w:hAnsi="Calibri" w:cs="Times New Roman"/>
      <w:sz w:val="24"/>
      <w:szCs w:val="20"/>
      <w:lang w:val="en-US" w:eastAsia="ja-JP"/>
    </w:rPr>
  </w:style>
  <w:style w:type="character" w:customStyle="1" w:styleId="A8">
    <w:name w:val="A8"/>
    <w:uiPriority w:val="99"/>
    <w:rsid w:val="00E07416"/>
    <w:rPr>
      <w:rFonts w:cs="HelveticaNeueLT Std Lt"/>
      <w:color w:val="000000"/>
      <w:sz w:val="22"/>
      <w:szCs w:val="22"/>
    </w:rPr>
  </w:style>
  <w:style w:type="character" w:customStyle="1" w:styleId="A9">
    <w:name w:val="A9"/>
    <w:uiPriority w:val="99"/>
    <w:rsid w:val="00E07416"/>
    <w:rPr>
      <w:rFonts w:cs="HelveticaNeueLT Std Lt"/>
      <w:color w:val="000000"/>
      <w:sz w:val="12"/>
      <w:szCs w:val="12"/>
    </w:rPr>
  </w:style>
  <w:style w:type="paragraph" w:customStyle="1" w:styleId="MMCallout1">
    <w:name w:val="MM Callout 1"/>
    <w:basedOn w:val="Normal"/>
    <w:link w:val="MMCallout1Char"/>
    <w:rsid w:val="00BB3B60"/>
    <w:pPr>
      <w:numPr>
        <w:numId w:val="6"/>
      </w:numPr>
      <w:spacing w:line="276" w:lineRule="auto"/>
      <w:jc w:val="both"/>
    </w:pPr>
    <w:rPr>
      <w:rFonts w:ascii="Arial" w:eastAsia="Calibri" w:hAnsi="Arial" w:cs="Times New Roman"/>
      <w:sz w:val="22"/>
      <w:szCs w:val="22"/>
      <w:lang w:val="en-GB" w:eastAsia="en-US"/>
    </w:rPr>
  </w:style>
  <w:style w:type="character" w:customStyle="1" w:styleId="MMCallout1Char">
    <w:name w:val="MM Callout 1 Char"/>
    <w:link w:val="MMCallout1"/>
    <w:rsid w:val="00BB3B60"/>
    <w:rPr>
      <w:rFonts w:ascii="Arial" w:eastAsia="Calibri" w:hAnsi="Arial" w:cs="Times New Roman"/>
    </w:rPr>
  </w:style>
  <w:style w:type="character" w:customStyle="1" w:styleId="GridTable1Light1">
    <w:name w:val="Grid Table 1 Light1"/>
    <w:aliases w:val="numbered list"/>
    <w:uiPriority w:val="33"/>
    <w:qFormat/>
    <w:rsid w:val="00BB3B60"/>
  </w:style>
  <w:style w:type="paragraph" w:customStyle="1" w:styleId="MediumGrid21">
    <w:name w:val="Medium Grid 21"/>
    <w:link w:val="MediumGrid2Char"/>
    <w:uiPriority w:val="1"/>
    <w:qFormat/>
    <w:rsid w:val="00FF1A25"/>
    <w:rPr>
      <w:rFonts w:ascii="Arial" w:eastAsia="Calibri" w:hAnsi="Arial" w:cs="Times New Roman"/>
    </w:rPr>
  </w:style>
  <w:style w:type="character" w:customStyle="1" w:styleId="MediumGrid2Char">
    <w:name w:val="Medium Grid 2 Char"/>
    <w:link w:val="MediumGrid21"/>
    <w:uiPriority w:val="1"/>
    <w:rsid w:val="00FF1A25"/>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2530">
      <w:bodyDiv w:val="1"/>
      <w:marLeft w:val="0"/>
      <w:marRight w:val="0"/>
      <w:marTop w:val="0"/>
      <w:marBottom w:val="0"/>
      <w:divBdr>
        <w:top w:val="none" w:sz="0" w:space="0" w:color="auto"/>
        <w:left w:val="none" w:sz="0" w:space="0" w:color="auto"/>
        <w:bottom w:val="none" w:sz="0" w:space="0" w:color="auto"/>
        <w:right w:val="none" w:sz="0" w:space="0" w:color="auto"/>
      </w:divBdr>
    </w:div>
    <w:div w:id="106169706">
      <w:bodyDiv w:val="1"/>
      <w:marLeft w:val="0"/>
      <w:marRight w:val="0"/>
      <w:marTop w:val="0"/>
      <w:marBottom w:val="0"/>
      <w:divBdr>
        <w:top w:val="none" w:sz="0" w:space="0" w:color="auto"/>
        <w:left w:val="none" w:sz="0" w:space="0" w:color="auto"/>
        <w:bottom w:val="none" w:sz="0" w:space="0" w:color="auto"/>
        <w:right w:val="none" w:sz="0" w:space="0" w:color="auto"/>
      </w:divBdr>
    </w:div>
    <w:div w:id="236982548">
      <w:bodyDiv w:val="1"/>
      <w:marLeft w:val="0"/>
      <w:marRight w:val="0"/>
      <w:marTop w:val="0"/>
      <w:marBottom w:val="0"/>
      <w:divBdr>
        <w:top w:val="none" w:sz="0" w:space="0" w:color="auto"/>
        <w:left w:val="none" w:sz="0" w:space="0" w:color="auto"/>
        <w:bottom w:val="none" w:sz="0" w:space="0" w:color="auto"/>
        <w:right w:val="none" w:sz="0" w:space="0" w:color="auto"/>
      </w:divBdr>
    </w:div>
    <w:div w:id="289944005">
      <w:bodyDiv w:val="1"/>
      <w:marLeft w:val="0"/>
      <w:marRight w:val="0"/>
      <w:marTop w:val="0"/>
      <w:marBottom w:val="0"/>
      <w:divBdr>
        <w:top w:val="none" w:sz="0" w:space="0" w:color="auto"/>
        <w:left w:val="none" w:sz="0" w:space="0" w:color="auto"/>
        <w:bottom w:val="none" w:sz="0" w:space="0" w:color="auto"/>
        <w:right w:val="none" w:sz="0" w:space="0" w:color="auto"/>
      </w:divBdr>
    </w:div>
    <w:div w:id="370689578">
      <w:bodyDiv w:val="1"/>
      <w:marLeft w:val="0"/>
      <w:marRight w:val="0"/>
      <w:marTop w:val="0"/>
      <w:marBottom w:val="0"/>
      <w:divBdr>
        <w:top w:val="none" w:sz="0" w:space="0" w:color="auto"/>
        <w:left w:val="none" w:sz="0" w:space="0" w:color="auto"/>
        <w:bottom w:val="none" w:sz="0" w:space="0" w:color="auto"/>
        <w:right w:val="none" w:sz="0" w:space="0" w:color="auto"/>
      </w:divBdr>
    </w:div>
    <w:div w:id="399404701">
      <w:bodyDiv w:val="1"/>
      <w:marLeft w:val="0"/>
      <w:marRight w:val="0"/>
      <w:marTop w:val="0"/>
      <w:marBottom w:val="0"/>
      <w:divBdr>
        <w:top w:val="none" w:sz="0" w:space="0" w:color="auto"/>
        <w:left w:val="none" w:sz="0" w:space="0" w:color="auto"/>
        <w:bottom w:val="none" w:sz="0" w:space="0" w:color="auto"/>
        <w:right w:val="none" w:sz="0" w:space="0" w:color="auto"/>
      </w:divBdr>
    </w:div>
    <w:div w:id="581724407">
      <w:bodyDiv w:val="1"/>
      <w:marLeft w:val="0"/>
      <w:marRight w:val="0"/>
      <w:marTop w:val="0"/>
      <w:marBottom w:val="0"/>
      <w:divBdr>
        <w:top w:val="none" w:sz="0" w:space="0" w:color="auto"/>
        <w:left w:val="none" w:sz="0" w:space="0" w:color="auto"/>
        <w:bottom w:val="none" w:sz="0" w:space="0" w:color="auto"/>
        <w:right w:val="none" w:sz="0" w:space="0" w:color="auto"/>
      </w:divBdr>
    </w:div>
    <w:div w:id="593901802">
      <w:bodyDiv w:val="1"/>
      <w:marLeft w:val="0"/>
      <w:marRight w:val="0"/>
      <w:marTop w:val="0"/>
      <w:marBottom w:val="0"/>
      <w:divBdr>
        <w:top w:val="none" w:sz="0" w:space="0" w:color="auto"/>
        <w:left w:val="none" w:sz="0" w:space="0" w:color="auto"/>
        <w:bottom w:val="none" w:sz="0" w:space="0" w:color="auto"/>
        <w:right w:val="none" w:sz="0" w:space="0" w:color="auto"/>
      </w:divBdr>
    </w:div>
    <w:div w:id="818157178">
      <w:bodyDiv w:val="1"/>
      <w:marLeft w:val="0"/>
      <w:marRight w:val="0"/>
      <w:marTop w:val="0"/>
      <w:marBottom w:val="0"/>
      <w:divBdr>
        <w:top w:val="none" w:sz="0" w:space="0" w:color="auto"/>
        <w:left w:val="none" w:sz="0" w:space="0" w:color="auto"/>
        <w:bottom w:val="none" w:sz="0" w:space="0" w:color="auto"/>
        <w:right w:val="none" w:sz="0" w:space="0" w:color="auto"/>
      </w:divBdr>
    </w:div>
    <w:div w:id="1281255507">
      <w:bodyDiv w:val="1"/>
      <w:marLeft w:val="0"/>
      <w:marRight w:val="0"/>
      <w:marTop w:val="0"/>
      <w:marBottom w:val="0"/>
      <w:divBdr>
        <w:top w:val="none" w:sz="0" w:space="0" w:color="auto"/>
        <w:left w:val="none" w:sz="0" w:space="0" w:color="auto"/>
        <w:bottom w:val="none" w:sz="0" w:space="0" w:color="auto"/>
        <w:right w:val="none" w:sz="0" w:space="0" w:color="auto"/>
      </w:divBdr>
    </w:div>
    <w:div w:id="1281374617">
      <w:bodyDiv w:val="1"/>
      <w:marLeft w:val="0"/>
      <w:marRight w:val="0"/>
      <w:marTop w:val="0"/>
      <w:marBottom w:val="0"/>
      <w:divBdr>
        <w:top w:val="none" w:sz="0" w:space="0" w:color="auto"/>
        <w:left w:val="none" w:sz="0" w:space="0" w:color="auto"/>
        <w:bottom w:val="none" w:sz="0" w:space="0" w:color="auto"/>
        <w:right w:val="none" w:sz="0" w:space="0" w:color="auto"/>
      </w:divBdr>
    </w:div>
    <w:div w:id="1304113962">
      <w:bodyDiv w:val="1"/>
      <w:marLeft w:val="0"/>
      <w:marRight w:val="0"/>
      <w:marTop w:val="0"/>
      <w:marBottom w:val="0"/>
      <w:divBdr>
        <w:top w:val="none" w:sz="0" w:space="0" w:color="auto"/>
        <w:left w:val="none" w:sz="0" w:space="0" w:color="auto"/>
        <w:bottom w:val="none" w:sz="0" w:space="0" w:color="auto"/>
        <w:right w:val="none" w:sz="0" w:space="0" w:color="auto"/>
      </w:divBdr>
    </w:div>
    <w:div w:id="1421639282">
      <w:bodyDiv w:val="1"/>
      <w:marLeft w:val="0"/>
      <w:marRight w:val="0"/>
      <w:marTop w:val="0"/>
      <w:marBottom w:val="0"/>
      <w:divBdr>
        <w:top w:val="none" w:sz="0" w:space="0" w:color="auto"/>
        <w:left w:val="none" w:sz="0" w:space="0" w:color="auto"/>
        <w:bottom w:val="none" w:sz="0" w:space="0" w:color="auto"/>
        <w:right w:val="none" w:sz="0" w:space="0" w:color="auto"/>
      </w:divBdr>
    </w:div>
    <w:div w:id="1692683422">
      <w:bodyDiv w:val="1"/>
      <w:marLeft w:val="0"/>
      <w:marRight w:val="0"/>
      <w:marTop w:val="0"/>
      <w:marBottom w:val="0"/>
      <w:divBdr>
        <w:top w:val="none" w:sz="0" w:space="0" w:color="auto"/>
        <w:left w:val="none" w:sz="0" w:space="0" w:color="auto"/>
        <w:bottom w:val="none" w:sz="0" w:space="0" w:color="auto"/>
        <w:right w:val="none" w:sz="0" w:space="0" w:color="auto"/>
      </w:divBdr>
    </w:div>
    <w:div w:id="1895577761">
      <w:bodyDiv w:val="1"/>
      <w:marLeft w:val="0"/>
      <w:marRight w:val="0"/>
      <w:marTop w:val="0"/>
      <w:marBottom w:val="0"/>
      <w:divBdr>
        <w:top w:val="none" w:sz="0" w:space="0" w:color="auto"/>
        <w:left w:val="none" w:sz="0" w:space="0" w:color="auto"/>
        <w:bottom w:val="none" w:sz="0" w:space="0" w:color="auto"/>
        <w:right w:val="none" w:sz="0" w:space="0" w:color="auto"/>
      </w:divBdr>
    </w:div>
    <w:div w:id="1922716956">
      <w:bodyDiv w:val="1"/>
      <w:marLeft w:val="0"/>
      <w:marRight w:val="0"/>
      <w:marTop w:val="0"/>
      <w:marBottom w:val="0"/>
      <w:divBdr>
        <w:top w:val="none" w:sz="0" w:space="0" w:color="auto"/>
        <w:left w:val="none" w:sz="0" w:space="0" w:color="auto"/>
        <w:bottom w:val="none" w:sz="0" w:space="0" w:color="auto"/>
        <w:right w:val="none" w:sz="0" w:space="0" w:color="auto"/>
      </w:divBdr>
    </w:div>
    <w:div w:id="1949046200">
      <w:bodyDiv w:val="1"/>
      <w:marLeft w:val="0"/>
      <w:marRight w:val="0"/>
      <w:marTop w:val="0"/>
      <w:marBottom w:val="0"/>
      <w:divBdr>
        <w:top w:val="none" w:sz="0" w:space="0" w:color="auto"/>
        <w:left w:val="none" w:sz="0" w:space="0" w:color="auto"/>
        <w:bottom w:val="none" w:sz="0" w:space="0" w:color="auto"/>
        <w:right w:val="none" w:sz="0" w:space="0" w:color="auto"/>
      </w:divBdr>
    </w:div>
    <w:div w:id="1958220884">
      <w:bodyDiv w:val="1"/>
      <w:marLeft w:val="0"/>
      <w:marRight w:val="0"/>
      <w:marTop w:val="0"/>
      <w:marBottom w:val="0"/>
      <w:divBdr>
        <w:top w:val="none" w:sz="0" w:space="0" w:color="auto"/>
        <w:left w:val="none" w:sz="0" w:space="0" w:color="auto"/>
        <w:bottom w:val="none" w:sz="0" w:space="0" w:color="auto"/>
        <w:right w:val="none" w:sz="0" w:space="0" w:color="auto"/>
      </w:divBdr>
    </w:div>
    <w:div w:id="20828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ros.org.uk/media/1eubz33w/ros-clinical-standards-for-fracture-liaison-services-august-2019.pdf" TargetMode="External"/><Relationship Id="rId18" Type="http://schemas.openxmlformats.org/officeDocument/2006/relationships/hyperlink" Target="https://www.researchgate.net/publication/309789494_Poster_All_Wales_audit_-_services_for_secondary_prevention_of_fragility_fractures_201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heros.org.uk/healthcare-professionals/fracture-liaison-services/implementation-toolkit/" TargetMode="External"/><Relationship Id="rId17" Type="http://schemas.openxmlformats.org/officeDocument/2006/relationships/hyperlink" Target="http://www.fractures.com/pdf/BOA-BGS-Blue-Book.pdf" TargetMode="External"/><Relationship Id="rId2" Type="http://schemas.openxmlformats.org/officeDocument/2006/relationships/customXml" Target="../customXml/item2.xml"/><Relationship Id="rId16" Type="http://schemas.openxmlformats.org/officeDocument/2006/relationships/hyperlink" Target="http://www.laterlifetraining.co.uk/wp-content/uploads/2011/12/FF_Effective-Interventions-in-health-and-social-car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ros.org.uk/healthcare-professionals/fracture-liaison-services/implementation-toolkit/" TargetMode="External"/><Relationship Id="rId5" Type="http://schemas.openxmlformats.org/officeDocument/2006/relationships/numbering" Target="numbering.xml"/><Relationship Id="rId15" Type="http://schemas.openxmlformats.org/officeDocument/2006/relationships/hyperlink" Target="https://www.fffap.org.uk/fls/flsweb.ns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ffap.org.uk/fls/flsweb.nsf/"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hare.iofbonehealth.org/EU-6-Material/Reports/IOF%20Report_EU.pdf" TargetMode="External"/><Relationship Id="rId13" Type="http://schemas.openxmlformats.org/officeDocument/2006/relationships/hyperlink" Target="http://share.iofbonehealth.org/EU-6-Material/Reports/IOF%20Report_EU.pdf" TargetMode="External"/><Relationship Id="rId18" Type="http://schemas.openxmlformats.org/officeDocument/2006/relationships/hyperlink" Target="http://www.healthcareimprovementscotland.org/previous_resources/audit_report/osteoporotic_fractures_audit.aspx" TargetMode="External"/><Relationship Id="rId26" Type="http://schemas.openxmlformats.org/officeDocument/2006/relationships/hyperlink" Target="https://theprsb.org/wp-content/uploads/2018/07/Outpatient-Letter-Standard-Maintenance-Release-Implementation-Guidance-Report-.pdf" TargetMode="External"/><Relationship Id="rId3" Type="http://schemas.openxmlformats.org/officeDocument/2006/relationships/hyperlink" Target="http://share.iofbonehealth.org/EU-6-Material/Reports/IOF%20Report_EU.pdf" TargetMode="External"/><Relationship Id="rId21" Type="http://schemas.openxmlformats.org/officeDocument/2006/relationships/hyperlink" Target="http://library.nhsggc.org.uk/mediaAssets/OFPS/NHSGGC%20Strategy%20for%20Osteoporosis%20and%20Falls%20Prevention%2020062010_An%20Evaluation_Skelton%20and%20Neil%202009.pdf" TargetMode="External"/><Relationship Id="rId7" Type="http://schemas.openxmlformats.org/officeDocument/2006/relationships/hyperlink" Target="http://nos.org.uk/media/1776/clinical-standards-report.pdf" TargetMode="External"/><Relationship Id="rId12" Type="http://schemas.openxmlformats.org/officeDocument/2006/relationships/hyperlink" Target="https://www.nice.org.uk/guidance/cg146?unlid" TargetMode="External"/><Relationship Id="rId17" Type="http://schemas.openxmlformats.org/officeDocument/2006/relationships/hyperlink" Target="http://www.healthcareimprovementscotland.org/previous_resources/audit_report/osteoporotic_fractures_audit.aspx" TargetMode="External"/><Relationship Id="rId25" Type="http://schemas.openxmlformats.org/officeDocument/2006/relationships/hyperlink" Target="https://theprsb.org/wp-content/uploads/2018/07/Outpatient-Letter-Standard-Maintenance-Release-Implementation-Guidance-Report-.pdf" TargetMode="External"/><Relationship Id="rId2" Type="http://schemas.openxmlformats.org/officeDocument/2006/relationships/hyperlink" Target="https://www.nice.org.uk/guidance/cg146?unlid" TargetMode="External"/><Relationship Id="rId16" Type="http://schemas.openxmlformats.org/officeDocument/2006/relationships/hyperlink" Target="http://www.laterlifetraining.co.uk/wp-content/uploads/2011/12/FF_Effective-Interventions-in-health-and-social-care.pdf" TargetMode="External"/><Relationship Id="rId20" Type="http://schemas.openxmlformats.org/officeDocument/2006/relationships/hyperlink" Target="http://www.healthcareimprovementscotland.org/previous_resources/audit_report/osteoporotic_fractures_audit.aspx" TargetMode="External"/><Relationship Id="rId1" Type="http://schemas.openxmlformats.org/officeDocument/2006/relationships/hyperlink" Target="https://www.nice.org.uk/guidance/cg146?unlid" TargetMode="External"/><Relationship Id="rId6" Type="http://schemas.openxmlformats.org/officeDocument/2006/relationships/hyperlink" Target="https://journals.lww.com/corr/Abstract/2007/08000/Prior_Fractures_are_Common_in_Patients_with.40.aspx" TargetMode="External"/><Relationship Id="rId11" Type="http://schemas.openxmlformats.org/officeDocument/2006/relationships/hyperlink" Target="http://share.iofbonehealth.org/EU-6-Material/Reports/IOF%20Report_EU.pdf" TargetMode="External"/><Relationship Id="rId24" Type="http://schemas.openxmlformats.org/officeDocument/2006/relationships/hyperlink" Target="https://www.england.nhs.uk/rightcare/wp-content/uploads/sites/40/2017/12/falls-fragility-fractures-pathway-v18.pdf" TargetMode="External"/><Relationship Id="rId5" Type="http://schemas.openxmlformats.org/officeDocument/2006/relationships/hyperlink" Target="https://acr.confex.com/acr/2006/webprogram/Paper5282.html" TargetMode="External"/><Relationship Id="rId15" Type="http://schemas.openxmlformats.org/officeDocument/2006/relationships/hyperlink" Target="https://www.nhfd.co.uk/files/2018ReportFiles/NHFD-2018-Annual-Report-v101.pdf" TargetMode="External"/><Relationship Id="rId23" Type="http://schemas.openxmlformats.org/officeDocument/2006/relationships/hyperlink" Target="https://assets.publishing.service.gov.uk/government/uploads/system/uploads/attachment_data/file/586382/falls_and_fractures_consensus_statement.pdf" TargetMode="External"/><Relationship Id="rId10" Type="http://schemas.openxmlformats.org/officeDocument/2006/relationships/hyperlink" Target="https://assets.publishing.service.gov.uk/government/uploads/system/uploads/attachment_data/file/816458/future-of-an-ageing-population.pdf" TargetMode="External"/><Relationship Id="rId19" Type="http://schemas.openxmlformats.org/officeDocument/2006/relationships/hyperlink" Target="http://www.healthcareimprovementscotland.org/previous_resources/audit_report/osteoporotic_fractures_audit.aspx" TargetMode="External"/><Relationship Id="rId4" Type="http://schemas.openxmlformats.org/officeDocument/2006/relationships/hyperlink" Target="http://www.healthcareimprovementscotland.org/previous_resources/audit_report/osteoporotic_fractures_audit.aspx" TargetMode="External"/><Relationship Id="rId9" Type="http://schemas.openxmlformats.org/officeDocument/2006/relationships/hyperlink" Target="https://www.nice.org.uk/guidance/ta161/chapter/2-Clinical-need-and-practice" TargetMode="External"/><Relationship Id="rId14" Type="http://schemas.openxmlformats.org/officeDocument/2006/relationships/hyperlink" Target="https://www.nhfd.co.uk/files/2018ReportFiles/NHFD-2018-Annual-Report-v101.pdf" TargetMode="External"/><Relationship Id="rId22" Type="http://schemas.openxmlformats.org/officeDocument/2006/relationships/hyperlink" Target="https://theros.org.uk/healthcare-professionals/fracture-liaison-services/implementation-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Document" ma:contentTypeID="0x0101009A3574456A5AA64F8FAB1A91F40DCA7E" ma:contentTypeVersion="26" ma:contentTypeDescription="Create a new document." ma:contentTypeScope="" ma:versionID="9f46b928040165bd99efe86bd3a63d28">
  <xsd:schema xmlns:xsd="http://www.w3.org/2001/XMLSchema" xmlns:xs="http://www.w3.org/2001/XMLSchema" xmlns:p="http://schemas.microsoft.com/office/2006/metadata/properties" xmlns:ns1="http://schemas.microsoft.com/sharepoint/v3" xmlns:ns2="5174190d-c54a-49d0-989e-8efa7c5085b2" xmlns:ns3="c8c20058-494d-43f0-b534-aac60bcd117f" targetNamespace="http://schemas.microsoft.com/office/2006/metadata/properties" ma:root="true" ma:fieldsID="4a7e46678674b0129d50e21d32a4d5a3" ns1:_="" ns2:_="" ns3:_="">
    <xsd:import namespace="http://schemas.microsoft.com/sharepoint/v3"/>
    <xsd:import namespace="5174190d-c54a-49d0-989e-8efa7c5085b2"/>
    <xsd:import namespace="c8c20058-494d-43f0-b534-aac60bcd11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No_x002e_" minOccurs="0"/>
                <xsd:element ref="ns3:FileNo_x002e_" minOccurs="0"/>
                <xsd:element ref="ns3:Status" minOccurs="0"/>
                <xsd:element ref="ns3:Filepath" minOccurs="0"/>
                <xsd:element ref="ns1:_ip_UnifiedCompliancePolicyProperties" minOccurs="0"/>
                <xsd:element ref="ns1:_ip_UnifiedCompliancePolicyUIAction" minOccurs="0"/>
                <xsd:element ref="ns3:MediaServiceAutoKeyPoints" minOccurs="0"/>
                <xsd:element ref="ns3:MediaServiceKeyPoints" minOccurs="0"/>
                <xsd:element ref="ns3:MCWorkplan2020" minOccurs="0"/>
                <xsd:element ref="ns3:dateadded"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4190d-c54a-49d0-989e-8efa7c5085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20058-494d-43f0-b534-aac60bcd11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_x002e_" ma:index="18" nillable="true" ma:displayName="No." ma:decimals="0" ma:format="Dropdown" ma:internalName="No_x002e_" ma:percentage="FALSE">
      <xsd:simpleType>
        <xsd:restriction base="dms:Number"/>
      </xsd:simpleType>
    </xsd:element>
    <xsd:element name="FileNo_x002e_" ma:index="19" nillable="true" ma:displayName="File No." ma:format="Dropdown" ma:internalName="FileNo_x002e_" ma:percentage="FALSE">
      <xsd:simpleType>
        <xsd:restriction base="dms:Number">
          <xsd:maxInclusive value="12"/>
          <xsd:minInclusive value="1"/>
        </xsd:restriction>
      </xsd:simpleType>
    </xsd:element>
    <xsd:element name="Status" ma:index="20" nillable="true" ma:displayName="Status" ma:format="Dropdown" ma:internalName="Status">
      <xsd:simpleType>
        <xsd:restriction base="dms:Text">
          <xsd:maxLength value="255"/>
        </xsd:restriction>
      </xsd:simpleType>
    </xsd:element>
    <xsd:element name="Filepath" ma:index="21" nillable="true" ma:displayName="File path" ma:format="Hyperlink" ma:internalName="Filepath">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CWorkplan2020" ma:index="26" nillable="true" ma:displayName="M&amp;C Workplan 2020" ma:format="Hyperlink" ma:internalName="MCWorkplan2020">
      <xsd:complexType>
        <xsd:complexContent>
          <xsd:extension base="dms:URL">
            <xsd:sequence>
              <xsd:element name="Url" type="dms:ValidUrl" minOccurs="0" nillable="true"/>
              <xsd:element name="Description" type="xsd:string" nillable="true"/>
            </xsd:sequence>
          </xsd:extension>
        </xsd:complexContent>
      </xsd:complexType>
    </xsd:element>
    <xsd:element name="dateadded" ma:index="27" nillable="true" ma:displayName="date added" ma:format="DateOnly" ma:internalName="dateadded">
      <xsd:simpleType>
        <xsd:restriction base="dms:DateTime"/>
      </xsd:simpleType>
    </xsd:element>
    <xsd:element name="Comments" ma:index="28" nillable="true" ma:displayName="Comments" ma:description="No CSV - Emailed Customer 05/01/2021" ma:format="Dropdown"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_x002e_ xmlns="c8c20058-494d-43f0-b534-aac60bcd117f" xsi:nil="true"/>
    <Filepath xmlns="c8c20058-494d-43f0-b534-aac60bcd117f">
      <Url xsi:nil="true"/>
      <Description xsi:nil="true"/>
    </Filepath>
    <FileNo_x002e_ xmlns="c8c20058-494d-43f0-b534-aac60bcd117f" xsi:nil="true"/>
    <_ip_UnifiedCompliancePolicyProperties xmlns="http://schemas.microsoft.com/sharepoint/v3" xsi:nil="true"/>
    <Status xmlns="c8c20058-494d-43f0-b534-aac60bcd117f" xsi:nil="true"/>
    <dateadded xmlns="c8c20058-494d-43f0-b534-aac60bcd117f" xsi:nil="true"/>
    <MCWorkplan2020 xmlns="c8c20058-494d-43f0-b534-aac60bcd117f">
      <Url xsi:nil="true"/>
      <Description xsi:nil="true"/>
    </MCWorkplan2020>
    <Comments xmlns="c8c20058-494d-43f0-b534-aac60bcd117f" xsi:nil="true"/>
  </documentManagement>
</p:properties>
</file>

<file path=customXml/itemProps1.xml><?xml version="1.0" encoding="utf-8"?>
<ds:datastoreItem xmlns:ds="http://schemas.openxmlformats.org/officeDocument/2006/customXml" ds:itemID="{A8CAF337-C1BB-4F5B-8719-9C037F1BFB07}">
  <ds:schemaRefs>
    <ds:schemaRef ds:uri="http://schemas.openxmlformats.org/officeDocument/2006/bibliography"/>
  </ds:schemaRefs>
</ds:datastoreItem>
</file>

<file path=customXml/itemProps2.xml><?xml version="1.0" encoding="utf-8"?>
<ds:datastoreItem xmlns:ds="http://schemas.openxmlformats.org/officeDocument/2006/customXml" ds:itemID="{FDE024D4-3EC3-489C-A870-AE940BFDB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74190d-c54a-49d0-989e-8efa7c5085b2"/>
    <ds:schemaRef ds:uri="c8c20058-494d-43f0-b534-aac60bcd1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28F7BF-8596-488E-AA6D-7DD067B4837B}">
  <ds:schemaRefs>
    <ds:schemaRef ds:uri="http://schemas.microsoft.com/sharepoint/v3/contenttype/forms"/>
  </ds:schemaRefs>
</ds:datastoreItem>
</file>

<file path=customXml/itemProps4.xml><?xml version="1.0" encoding="utf-8"?>
<ds:datastoreItem xmlns:ds="http://schemas.openxmlformats.org/officeDocument/2006/customXml" ds:itemID="{0EAA4CE5-2A23-498A-9B5A-273898981685}">
  <ds:schemaRefs>
    <ds:schemaRef ds:uri="http://schemas.microsoft.com/office/2006/metadata/properties"/>
    <ds:schemaRef ds:uri="http://schemas.microsoft.com/office/infopath/2007/PartnerControls"/>
    <ds:schemaRef ds:uri="http://schemas.microsoft.com/sharepoint/v3"/>
    <ds:schemaRef ds:uri="c8c20058-494d-43f0-b534-aac60bcd117f"/>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5033</Words>
  <Characters>28693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Grey Healthcare Group UK</Company>
  <LinksUpToDate>false</LinksUpToDate>
  <CharactersWithSpaces>33659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&amp; Helen</dc:creator>
  <cp:lastModifiedBy>Mayrine Fraser</cp:lastModifiedBy>
  <cp:revision>7</cp:revision>
  <cp:lastPrinted>2014-06-12T15:29:00Z</cp:lastPrinted>
  <dcterms:created xsi:type="dcterms:W3CDTF">2021-01-28T09:34:00Z</dcterms:created>
  <dcterms:modified xsi:type="dcterms:W3CDTF">2021-03-18T11:15:00Z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0x0101009A3574456A5AA64F8FAB1A91F40DCA7E</vt:lpwstr>
  </property>
  <property fmtid="{D5CDD505-2E9C-101B-9397-08002B2CF9AE}" pid="3" name="Order">
    <vt:r8>154200</vt:r8>
  </property>
</Properties>
</file>