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ED3F" w14:textId="77777777" w:rsidR="00337C96" w:rsidRDefault="000A1A30" w:rsidP="00682027">
      <w:pPr>
        <w:pStyle w:val="Heading1"/>
        <w:jc w:val="center"/>
        <w:rPr>
          <w:rFonts w:ascii="Verdana" w:hAnsi="Verdana"/>
        </w:rPr>
      </w:pPr>
      <w:r w:rsidRPr="006D09E0">
        <w:rPr>
          <w:rFonts w:ascii="Verdana" w:hAnsi="Verdana"/>
        </w:rPr>
        <w:t xml:space="preserve">Fracture Liaison Service </w:t>
      </w:r>
    </w:p>
    <w:p w14:paraId="0CC8602C" w14:textId="28888491" w:rsidR="000A1A30" w:rsidRPr="006D09E0" w:rsidRDefault="00337C96" w:rsidP="00682027">
      <w:pPr>
        <w:pStyle w:val="Heading1"/>
        <w:jc w:val="center"/>
        <w:rPr>
          <w:rFonts w:ascii="Verdana" w:hAnsi="Verdana"/>
        </w:rPr>
      </w:pPr>
      <w:r>
        <w:rPr>
          <w:rFonts w:ascii="Verdana" w:hAnsi="Verdana"/>
        </w:rPr>
        <w:t>(</w:t>
      </w:r>
      <w:r w:rsidR="000A1A30" w:rsidRPr="006D09E0">
        <w:rPr>
          <w:rFonts w:ascii="Verdana" w:hAnsi="Verdana"/>
        </w:rPr>
        <w:t>Business Case</w:t>
      </w:r>
      <w:r w:rsidR="004B62E6">
        <w:rPr>
          <w:rFonts w:ascii="Verdana" w:hAnsi="Verdana"/>
        </w:rPr>
        <w:t xml:space="preserve"> Resource</w:t>
      </w:r>
      <w:r>
        <w:rPr>
          <w:rFonts w:ascii="Verdana" w:hAnsi="Verdana"/>
        </w:rPr>
        <w:t>)</w:t>
      </w:r>
    </w:p>
    <w:p w14:paraId="7E1E20E4" w14:textId="77777777" w:rsidR="000A1A30" w:rsidRPr="006D09E0" w:rsidRDefault="000A1A30" w:rsidP="006A3439">
      <w:pPr>
        <w:rPr>
          <w:rFonts w:ascii="Verdana" w:hAnsi="Verdana"/>
        </w:rPr>
      </w:pPr>
    </w:p>
    <w:p w14:paraId="64E0D1C6" w14:textId="0D66F804" w:rsidR="009E023D" w:rsidRPr="006D09E0" w:rsidRDefault="007B090D" w:rsidP="006A3439">
      <w:pPr>
        <w:rPr>
          <w:rFonts w:ascii="Verdana" w:hAnsi="Verdana"/>
        </w:rPr>
      </w:pPr>
      <w:r w:rsidRPr="006D09E0">
        <w:rPr>
          <w:rFonts w:ascii="Verdana" w:hAnsi="Verdana" w:cs="Calibri"/>
          <w:b/>
          <w:bCs/>
          <w:noProof/>
          <w:sz w:val="36"/>
          <w:szCs w:val="36"/>
          <w:lang w:eastAsia="en-GB"/>
        </w:rPr>
        <mc:AlternateContent>
          <mc:Choice Requires="wps">
            <w:drawing>
              <wp:inline distT="0" distB="0" distL="0" distR="0" wp14:anchorId="2763D1AE" wp14:editId="7FE474B7">
                <wp:extent cx="5709920" cy="7077075"/>
                <wp:effectExtent l="0" t="0" r="2413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7077075"/>
                        </a:xfrm>
                        <a:prstGeom prst="rect">
                          <a:avLst/>
                        </a:prstGeom>
                        <a:solidFill>
                          <a:srgbClr val="0D73A5"/>
                        </a:solidFill>
                        <a:ln w="9525">
                          <a:solidFill>
                            <a:srgbClr val="000000"/>
                          </a:solidFill>
                          <a:miter lim="800000"/>
                          <a:headEnd/>
                          <a:tailEnd/>
                        </a:ln>
                      </wps:spPr>
                      <wps:txbx>
                        <w:txbxContent>
                          <w:p w14:paraId="7C7885CA" w14:textId="4B472701" w:rsidR="002F50ED" w:rsidRPr="006D09E0" w:rsidRDefault="002F50ED" w:rsidP="00302BC0">
                            <w:pPr>
                              <w:autoSpaceDE w:val="0"/>
                              <w:autoSpaceDN w:val="0"/>
                              <w:adjustRightInd w:val="0"/>
                              <w:spacing w:after="120"/>
                              <w:rPr>
                                <w:rFonts w:ascii="Verdana" w:hAnsi="Verdana"/>
                                <w:b/>
                                <w:i/>
                                <w:color w:val="FFFFFF"/>
                              </w:rPr>
                            </w:pPr>
                            <w:r w:rsidRPr="006D09E0">
                              <w:rPr>
                                <w:rFonts w:ascii="Verdana" w:hAnsi="Verdana"/>
                                <w:b/>
                                <w:bCs/>
                                <w:i/>
                                <w:color w:val="FFFFFF"/>
                                <w:u w:val="single"/>
                              </w:rPr>
                              <w:t xml:space="preserve">This </w:t>
                            </w:r>
                            <w:r>
                              <w:rPr>
                                <w:rFonts w:ascii="Verdana" w:hAnsi="Verdana"/>
                                <w:b/>
                                <w:bCs/>
                                <w:i/>
                                <w:color w:val="FFFFFF"/>
                                <w:u w:val="single"/>
                              </w:rPr>
                              <w:t>resource</w:t>
                            </w:r>
                          </w:p>
                          <w:p w14:paraId="36B1A0C7" w14:textId="626E764E" w:rsidR="002F50ED" w:rsidRPr="00337C96" w:rsidRDefault="002F50ED" w:rsidP="004961F2">
                            <w:pPr>
                              <w:autoSpaceDE w:val="0"/>
                              <w:autoSpaceDN w:val="0"/>
                              <w:adjustRightInd w:val="0"/>
                              <w:spacing w:after="120"/>
                              <w:jc w:val="both"/>
                              <w:rPr>
                                <w:rFonts w:ascii="Verdana" w:hAnsi="Verdana"/>
                                <w:bCs/>
                                <w:i/>
                                <w:color w:val="FFFFFF"/>
                              </w:rPr>
                            </w:pPr>
                            <w:r w:rsidRPr="00337C96">
                              <w:rPr>
                                <w:rFonts w:ascii="Verdana" w:hAnsi="Verdana"/>
                                <w:bCs/>
                                <w:i/>
                                <w:color w:val="FFFFFF"/>
                              </w:rPr>
                              <w:t>This resource has been created by the Royal Osteoporosis Society as part of the Fracture Liaison Service Implementation Toolkit (FLS-IT). The aim of the toolkit is to take some of the hard work out of establishing a new Fracture Liaison Service or improving an existing one.</w:t>
                            </w:r>
                          </w:p>
                          <w:p w14:paraId="679AABF2" w14:textId="77777777" w:rsidR="002F50ED" w:rsidRDefault="002F50ED" w:rsidP="004961F2">
                            <w:pPr>
                              <w:autoSpaceDE w:val="0"/>
                              <w:autoSpaceDN w:val="0"/>
                              <w:adjustRightInd w:val="0"/>
                              <w:spacing w:after="120"/>
                              <w:jc w:val="both"/>
                              <w:rPr>
                                <w:rFonts w:ascii="Verdana" w:hAnsi="Verdana"/>
                                <w:bCs/>
                                <w:i/>
                                <w:color w:val="FFFFFF"/>
                              </w:rPr>
                            </w:pPr>
                            <w:r w:rsidRPr="00337C96">
                              <w:rPr>
                                <w:rFonts w:ascii="Verdana" w:hAnsi="Verdana"/>
                                <w:bCs/>
                                <w:i/>
                                <w:color w:val="FFFFFF"/>
                              </w:rPr>
                              <w:t>Th</w:t>
                            </w:r>
                            <w:r>
                              <w:rPr>
                                <w:rFonts w:ascii="Verdana" w:hAnsi="Verdana"/>
                                <w:bCs/>
                                <w:i/>
                                <w:color w:val="FFFFFF"/>
                              </w:rPr>
                              <w:t>is resource</w:t>
                            </w:r>
                            <w:r w:rsidRPr="00337C96">
                              <w:rPr>
                                <w:rFonts w:ascii="Verdana" w:hAnsi="Verdana"/>
                                <w:bCs/>
                                <w:i/>
                                <w:color w:val="FFFFFF"/>
                              </w:rPr>
                              <w:t xml:space="preserve"> has been created by working</w:t>
                            </w:r>
                            <w:r>
                              <w:rPr>
                                <w:rFonts w:ascii="Verdana" w:hAnsi="Verdana"/>
                                <w:bCs/>
                                <w:i/>
                                <w:color w:val="FFFFFF"/>
                              </w:rPr>
                              <w:t xml:space="preserve"> with</w:t>
                            </w:r>
                            <w:r w:rsidRPr="00337C96">
                              <w:rPr>
                                <w:rFonts w:ascii="Verdana" w:hAnsi="Verdana"/>
                                <w:bCs/>
                                <w:i/>
                                <w:color w:val="FFFFFF"/>
                              </w:rPr>
                              <w:t xml:space="preserve"> NHS professionals from across the UK and makes use of current policy and recognised best practices. This </w:t>
                            </w:r>
                            <w:r>
                              <w:rPr>
                                <w:rFonts w:ascii="Verdana" w:hAnsi="Verdana"/>
                                <w:bCs/>
                                <w:i/>
                                <w:color w:val="FFFFFF"/>
                              </w:rPr>
                              <w:t>resource</w:t>
                            </w:r>
                            <w:r w:rsidRPr="00337C96">
                              <w:rPr>
                                <w:rFonts w:ascii="Verdana" w:hAnsi="Verdana"/>
                                <w:bCs/>
                                <w:i/>
                                <w:color w:val="FFFFFF"/>
                              </w:rPr>
                              <w:t xml:space="preserve"> and the other tools in the toolkit have been designed to save the user the time and trouble of researching, </w:t>
                            </w:r>
                            <w:proofErr w:type="gramStart"/>
                            <w:r w:rsidRPr="00337C96">
                              <w:rPr>
                                <w:rFonts w:ascii="Verdana" w:hAnsi="Verdana"/>
                                <w:bCs/>
                                <w:i/>
                                <w:color w:val="FFFFFF"/>
                              </w:rPr>
                              <w:t>drafting</w:t>
                            </w:r>
                            <w:proofErr w:type="gramEnd"/>
                            <w:r w:rsidRPr="00337C96">
                              <w:rPr>
                                <w:rFonts w:ascii="Verdana" w:hAnsi="Verdana"/>
                                <w:bCs/>
                                <w:i/>
                                <w:color w:val="FFFFFF"/>
                              </w:rPr>
                              <w:t xml:space="preserve"> and editing a document or workbook from scratch. References have been included where relevant. </w:t>
                            </w:r>
                          </w:p>
                          <w:p w14:paraId="5771B8A6" w14:textId="03C95D12" w:rsidR="002F50ED" w:rsidRPr="00337C96" w:rsidRDefault="002F50ED" w:rsidP="004961F2">
                            <w:pPr>
                              <w:autoSpaceDE w:val="0"/>
                              <w:autoSpaceDN w:val="0"/>
                              <w:adjustRightInd w:val="0"/>
                              <w:spacing w:after="120"/>
                              <w:jc w:val="both"/>
                              <w:rPr>
                                <w:rFonts w:ascii="Verdana" w:hAnsi="Verdana"/>
                                <w:bCs/>
                                <w:i/>
                                <w:color w:val="FFFFFF"/>
                              </w:rPr>
                            </w:pPr>
                            <w:r>
                              <w:rPr>
                                <w:rFonts w:ascii="Verdana" w:hAnsi="Verdana"/>
                                <w:bCs/>
                                <w:i/>
                                <w:color w:val="FFFFFF"/>
                              </w:rPr>
                              <w:t xml:space="preserve">Your organisation will have </w:t>
                            </w:r>
                            <w:proofErr w:type="spellStart"/>
                            <w:proofErr w:type="gramStart"/>
                            <w:r>
                              <w:rPr>
                                <w:rFonts w:ascii="Verdana" w:hAnsi="Verdana"/>
                                <w:bCs/>
                                <w:i/>
                                <w:color w:val="FFFFFF"/>
                              </w:rPr>
                              <w:t>it’s</w:t>
                            </w:r>
                            <w:proofErr w:type="spellEnd"/>
                            <w:proofErr w:type="gramEnd"/>
                            <w:r>
                              <w:rPr>
                                <w:rFonts w:ascii="Verdana" w:hAnsi="Verdana"/>
                                <w:bCs/>
                                <w:i/>
                                <w:color w:val="FFFFFF"/>
                              </w:rPr>
                              <w:t xml:space="preserve"> own business case template, so where available you should always develop your business cases using your organisations internal templates, but you could use some of the information in this resource to populate it. </w:t>
                            </w:r>
                          </w:p>
                          <w:p w14:paraId="40C5A7A6" w14:textId="5CC4C513" w:rsidR="002F50ED" w:rsidRPr="006D09E0" w:rsidRDefault="002F50ED" w:rsidP="004961F2">
                            <w:pPr>
                              <w:autoSpaceDE w:val="0"/>
                              <w:autoSpaceDN w:val="0"/>
                              <w:adjustRightInd w:val="0"/>
                              <w:spacing w:after="120"/>
                              <w:jc w:val="both"/>
                              <w:rPr>
                                <w:rFonts w:ascii="Verdana" w:hAnsi="Verdana"/>
                                <w:b/>
                                <w:i/>
                                <w:color w:val="FFFFFF" w:themeColor="background1"/>
                              </w:rPr>
                            </w:pPr>
                            <w:r w:rsidRPr="00337C96">
                              <w:rPr>
                                <w:rFonts w:ascii="Verdana" w:hAnsi="Verdana"/>
                                <w:bCs/>
                                <w:i/>
                                <w:color w:val="FFFFFF"/>
                              </w:rPr>
                              <w:t>We trust that you will find this tool/template useful. You are free to use, change, edit or adapt this</w:t>
                            </w:r>
                            <w:r>
                              <w:rPr>
                                <w:rFonts w:ascii="Verdana" w:hAnsi="Verdana"/>
                                <w:bCs/>
                                <w:i/>
                                <w:color w:val="FFFFFF"/>
                              </w:rPr>
                              <w:t xml:space="preserve"> resource</w:t>
                            </w:r>
                            <w:r w:rsidRPr="00337C96">
                              <w:rPr>
                                <w:rFonts w:ascii="Verdana" w:hAnsi="Verdana"/>
                                <w:bCs/>
                                <w:i/>
                                <w:color w:val="FFFFFF"/>
                              </w:rPr>
                              <w:t xml:space="preserve"> according to your requirements. If you have any queries or would like to make suggestions on how to improve the tool/</w:t>
                            </w:r>
                            <w:proofErr w:type="gramStart"/>
                            <w:r w:rsidRPr="00337C96">
                              <w:rPr>
                                <w:rFonts w:ascii="Verdana" w:hAnsi="Verdana"/>
                                <w:bCs/>
                                <w:i/>
                                <w:color w:val="FFFFFF"/>
                              </w:rPr>
                              <w:t>template</w:t>
                            </w:r>
                            <w:proofErr w:type="gramEnd"/>
                            <w:r w:rsidRPr="00337C96">
                              <w:rPr>
                                <w:rFonts w:ascii="Verdana" w:hAnsi="Verdana"/>
                                <w:bCs/>
                                <w:i/>
                                <w:color w:val="FFFFFF"/>
                              </w:rPr>
                              <w:t xml:space="preserve"> please contact us at the Royal Osteoporosis Society. If you would like to see or to download other tools please go to</w:t>
                            </w:r>
                            <w:r w:rsidRPr="006D09E0">
                              <w:rPr>
                                <w:rFonts w:ascii="Verdana" w:hAnsi="Verdana"/>
                                <w:b/>
                                <w:i/>
                                <w:color w:val="FFFFFF"/>
                              </w:rPr>
                              <w:t xml:space="preserve"> </w:t>
                            </w:r>
                            <w:hyperlink r:id="rId11" w:history="1">
                              <w:r w:rsidRPr="00337C96">
                                <w:rPr>
                                  <w:rStyle w:val="Hyperlink"/>
                                  <w:b/>
                                  <w:bCs/>
                                  <w:color w:val="FFFFFF" w:themeColor="background1"/>
                                  <w:szCs w:val="22"/>
                                </w:rPr>
                                <w:t>https://theros.org.uk/healthcare-professionals/fracture-liaison-services/implementation-toolkit/</w:t>
                              </w:r>
                            </w:hyperlink>
                          </w:p>
                          <w:p w14:paraId="79BD61FE" w14:textId="77777777" w:rsidR="002F50ED" w:rsidRPr="006D09E0" w:rsidRDefault="002F50ED" w:rsidP="004961F2">
                            <w:pPr>
                              <w:autoSpaceDE w:val="0"/>
                              <w:autoSpaceDN w:val="0"/>
                              <w:adjustRightInd w:val="0"/>
                              <w:spacing w:after="120"/>
                              <w:jc w:val="both"/>
                              <w:rPr>
                                <w:rFonts w:ascii="Verdana" w:hAnsi="Verdana"/>
                                <w:b/>
                                <w:i/>
                                <w:color w:val="FFFFFF"/>
                              </w:rPr>
                            </w:pPr>
                            <w:r w:rsidRPr="006D09E0">
                              <w:rPr>
                                <w:rFonts w:ascii="Verdana" w:hAnsi="Verdana"/>
                                <w:b/>
                                <w:bCs/>
                                <w:i/>
                                <w:color w:val="FFFFFF"/>
                                <w:u w:val="single"/>
                              </w:rPr>
                              <w:t>Disclaimer</w:t>
                            </w:r>
                          </w:p>
                          <w:p w14:paraId="7165538B" w14:textId="5FD057CB" w:rsidR="002F50ED" w:rsidRPr="006D09E0" w:rsidRDefault="002F50ED" w:rsidP="004961F2">
                            <w:pPr>
                              <w:autoSpaceDE w:val="0"/>
                              <w:autoSpaceDN w:val="0"/>
                              <w:adjustRightInd w:val="0"/>
                              <w:spacing w:after="120"/>
                              <w:jc w:val="both"/>
                              <w:rPr>
                                <w:rFonts w:ascii="Verdana" w:hAnsi="Verdana"/>
                                <w:i/>
                                <w:color w:val="FFFFFF"/>
                              </w:rPr>
                            </w:pPr>
                            <w:r w:rsidRPr="006D09E0">
                              <w:rPr>
                                <w:rFonts w:ascii="Verdana" w:hAnsi="Verdana"/>
                                <w:i/>
                                <w:color w:val="FFFFFF"/>
                              </w:rPr>
                              <w:t xml:space="preserve">This </w:t>
                            </w:r>
                            <w:r>
                              <w:rPr>
                                <w:rFonts w:ascii="Verdana" w:hAnsi="Verdana"/>
                                <w:i/>
                                <w:color w:val="FFFFFF"/>
                              </w:rPr>
                              <w:t>resource</w:t>
                            </w:r>
                            <w:r w:rsidRPr="006D09E0">
                              <w:rPr>
                                <w:rFonts w:ascii="Verdana" w:hAnsi="Verdana"/>
                                <w:i/>
                                <w:color w:val="FFFFFF"/>
                              </w:rPr>
                              <w:t xml:space="preserve"> is provided free by the </w:t>
                            </w:r>
                            <w:r>
                              <w:rPr>
                                <w:rFonts w:ascii="Verdana" w:hAnsi="Verdana"/>
                                <w:i/>
                                <w:color w:val="FFFFFF"/>
                              </w:rPr>
                              <w:t>Royal</w:t>
                            </w:r>
                            <w:r w:rsidRPr="006D09E0">
                              <w:rPr>
                                <w:rFonts w:ascii="Verdana" w:hAnsi="Verdana"/>
                                <w:i/>
                                <w:color w:val="FFFFFF"/>
                              </w:rPr>
                              <w:t xml:space="preserve"> Osteoporosis Society as part of the Fracture Liaison Service Implementation Toolkit. This </w:t>
                            </w:r>
                            <w:r>
                              <w:rPr>
                                <w:rFonts w:ascii="Verdana" w:hAnsi="Verdana"/>
                                <w:i/>
                                <w:color w:val="FFFFFF"/>
                              </w:rPr>
                              <w:t>resource</w:t>
                            </w:r>
                            <w:r w:rsidRPr="006D09E0">
                              <w:rPr>
                                <w:rFonts w:ascii="Verdana" w:hAnsi="Verdana"/>
                                <w:i/>
                                <w:color w:val="FFFFFF"/>
                              </w:rPr>
                              <w:t xml:space="preserve"> does not represent the views of the </w:t>
                            </w:r>
                            <w:r>
                              <w:rPr>
                                <w:rFonts w:ascii="Verdana" w:hAnsi="Verdana"/>
                                <w:i/>
                                <w:color w:val="FFFFFF"/>
                              </w:rPr>
                              <w:t>Roy</w:t>
                            </w:r>
                            <w:r w:rsidRPr="006D09E0">
                              <w:rPr>
                                <w:rFonts w:ascii="Verdana" w:hAnsi="Verdana"/>
                                <w:i/>
                                <w:color w:val="FFFFFF"/>
                              </w:rPr>
                              <w:t xml:space="preserve">al Osteoporosis Society.  While every effort has been made to ensure that the information contained within this document is accurate and in full compliance with UK law and with best practice, at the time of writing, there is no guarantee as to the accuracy or reliability of the information contained herein and use of this </w:t>
                            </w:r>
                            <w:r>
                              <w:rPr>
                                <w:rFonts w:ascii="Verdana" w:hAnsi="Verdana"/>
                                <w:i/>
                                <w:color w:val="FFFFFF"/>
                              </w:rPr>
                              <w:t>resource</w:t>
                            </w:r>
                            <w:r w:rsidRPr="006D09E0">
                              <w:rPr>
                                <w:rFonts w:ascii="Verdana" w:hAnsi="Verdana"/>
                                <w:i/>
                                <w:color w:val="FFFFFF"/>
                              </w:rPr>
                              <w:t xml:space="preserve"> is entirely at the user’s risk. No liability whatsoever is accepted by the </w:t>
                            </w:r>
                            <w:r>
                              <w:rPr>
                                <w:rFonts w:ascii="Verdana" w:hAnsi="Verdana"/>
                                <w:i/>
                                <w:color w:val="FFFFFF"/>
                              </w:rPr>
                              <w:t>Roy</w:t>
                            </w:r>
                            <w:r w:rsidRPr="006D09E0">
                              <w:rPr>
                                <w:rFonts w:ascii="Verdana" w:hAnsi="Verdana"/>
                                <w:i/>
                                <w:color w:val="FFFFFF"/>
                              </w:rPr>
                              <w:t>al Osteoporosis Society.</w:t>
                            </w:r>
                          </w:p>
                          <w:p w14:paraId="5742E884" w14:textId="77777777" w:rsidR="002F50ED" w:rsidRPr="006D09E0" w:rsidRDefault="002F50ED" w:rsidP="004961F2">
                            <w:pPr>
                              <w:autoSpaceDE w:val="0"/>
                              <w:autoSpaceDN w:val="0"/>
                              <w:adjustRightInd w:val="0"/>
                              <w:spacing w:after="120"/>
                              <w:jc w:val="both"/>
                              <w:rPr>
                                <w:rFonts w:ascii="Verdana" w:hAnsi="Verdana"/>
                                <w:b/>
                                <w:i/>
                                <w:color w:val="FFFFFF"/>
                              </w:rPr>
                            </w:pPr>
                            <w:r w:rsidRPr="006D09E0">
                              <w:rPr>
                                <w:rFonts w:ascii="Verdana" w:hAnsi="Verdana"/>
                                <w:b/>
                                <w:bCs/>
                                <w:i/>
                                <w:color w:val="FFFFFF"/>
                                <w:u w:val="single"/>
                              </w:rPr>
                              <w:t>Instructions for use</w:t>
                            </w:r>
                          </w:p>
                          <w:p w14:paraId="3CDEF4E2" w14:textId="21F17205" w:rsidR="002F50ED" w:rsidRPr="006D09E0" w:rsidRDefault="002F50ED" w:rsidP="004961F2">
                            <w:pPr>
                              <w:autoSpaceDE w:val="0"/>
                              <w:autoSpaceDN w:val="0"/>
                              <w:adjustRightInd w:val="0"/>
                              <w:spacing w:after="120"/>
                              <w:jc w:val="both"/>
                              <w:rPr>
                                <w:rFonts w:ascii="Verdana" w:hAnsi="Verdana"/>
                                <w:i/>
                                <w:color w:val="FFFFFF"/>
                              </w:rPr>
                            </w:pPr>
                            <w:r w:rsidRPr="006D09E0">
                              <w:rPr>
                                <w:rFonts w:ascii="Verdana" w:hAnsi="Verdana"/>
                                <w:i/>
                                <w:color w:val="FFFFFF"/>
                              </w:rPr>
                              <w:t xml:space="preserve">The </w:t>
                            </w:r>
                            <w:r>
                              <w:rPr>
                                <w:rFonts w:ascii="Verdana" w:hAnsi="Verdana"/>
                                <w:i/>
                                <w:color w:val="FFFFFF"/>
                              </w:rPr>
                              <w:t>resource</w:t>
                            </w:r>
                            <w:r w:rsidRPr="006D09E0">
                              <w:rPr>
                                <w:rFonts w:ascii="Verdana" w:hAnsi="Verdana"/>
                                <w:i/>
                                <w:color w:val="FFFFFF"/>
                              </w:rPr>
                              <w:t xml:space="preserve"> is fully editable. Formatting has been kept to a minimum to allow flexible use when editing or copying material to use in local documents. The </w:t>
                            </w:r>
                            <w:r>
                              <w:rPr>
                                <w:rFonts w:ascii="Verdana" w:hAnsi="Verdana"/>
                                <w:i/>
                                <w:color w:val="FFFFFF"/>
                              </w:rPr>
                              <w:t>resource</w:t>
                            </w:r>
                            <w:r w:rsidRPr="006D09E0">
                              <w:rPr>
                                <w:rFonts w:ascii="Verdana" w:hAnsi="Verdana"/>
                                <w:i/>
                                <w:color w:val="FFFFFF"/>
                              </w:rPr>
                              <w:t xml:space="preserve"> may include guidance on use and/or sections where local information may need to be entered. These sections have been highlighted</w:t>
                            </w:r>
                            <w:r w:rsidRPr="006D09E0">
                              <w:rPr>
                                <w:rFonts w:ascii="Verdana" w:hAnsi="Verdana"/>
                                <w:b/>
                                <w:i/>
                                <w:color w:val="FFFFFF"/>
                              </w:rPr>
                              <w:t xml:space="preserve"> [</w:t>
                            </w:r>
                            <w:r w:rsidRPr="006D09E0">
                              <w:rPr>
                                <w:rFonts w:ascii="Verdana" w:hAnsi="Verdana"/>
                                <w:b/>
                                <w:bCs/>
                                <w:i/>
                                <w:color w:val="FFFFFF"/>
                              </w:rPr>
                              <w:t>using bold text in square brackets]</w:t>
                            </w:r>
                            <w:r w:rsidRPr="006D09E0">
                              <w:rPr>
                                <w:rFonts w:ascii="Verdana" w:hAnsi="Verdana"/>
                                <w:b/>
                                <w:i/>
                                <w:color w:val="FFFFFF"/>
                              </w:rPr>
                              <w:t xml:space="preserve">. </w:t>
                            </w:r>
                            <w:r w:rsidRPr="006D09E0">
                              <w:rPr>
                                <w:rFonts w:ascii="Verdana" w:hAnsi="Verdana"/>
                                <w:i/>
                                <w:color w:val="FFFFFF"/>
                              </w:rPr>
                              <w:t>Please delete or overwrite these sections as necessary and make any font or formatting changes.</w:t>
                            </w:r>
                          </w:p>
                          <w:p w14:paraId="50654F47" w14:textId="77777777" w:rsidR="002F50ED" w:rsidRPr="006D09E0" w:rsidRDefault="002F50ED" w:rsidP="00302BC0">
                            <w:pPr>
                              <w:autoSpaceDE w:val="0"/>
                              <w:autoSpaceDN w:val="0"/>
                              <w:adjustRightInd w:val="0"/>
                              <w:spacing w:after="120"/>
                              <w:rPr>
                                <w:rFonts w:ascii="Verdana" w:hAnsi="Verdana"/>
                                <w:b/>
                                <w:i/>
                                <w:color w:val="FFFFFF"/>
                              </w:rPr>
                            </w:pPr>
                            <w:r w:rsidRPr="006D09E0">
                              <w:rPr>
                                <w:rFonts w:ascii="Verdana" w:hAnsi="Verdana"/>
                                <w:b/>
                                <w:i/>
                                <w:color w:val="FFFFFF"/>
                              </w:rPr>
                              <w:t> </w:t>
                            </w:r>
                          </w:p>
                          <w:p w14:paraId="599F3414" w14:textId="77777777" w:rsidR="002F50ED" w:rsidRPr="006D09E0" w:rsidRDefault="002F50ED" w:rsidP="00302BC0">
                            <w:pPr>
                              <w:autoSpaceDE w:val="0"/>
                              <w:autoSpaceDN w:val="0"/>
                              <w:adjustRightInd w:val="0"/>
                              <w:spacing w:after="120"/>
                              <w:rPr>
                                <w:rFonts w:ascii="Verdana" w:hAnsi="Verdana"/>
                                <w:b/>
                                <w:i/>
                                <w:color w:val="FFFFFF"/>
                              </w:rPr>
                            </w:pPr>
                            <w:r w:rsidRPr="006D09E0">
                              <w:rPr>
                                <w:rFonts w:ascii="Verdana" w:hAnsi="Verdana"/>
                                <w:b/>
                                <w:bCs/>
                                <w:i/>
                                <w:color w:val="FFFFFF"/>
                              </w:rPr>
                              <w:t>[Please delete this box when you use the template]</w:t>
                            </w:r>
                          </w:p>
                          <w:p w14:paraId="4B9DC293" w14:textId="77777777" w:rsidR="002F50ED" w:rsidRPr="006D09E0" w:rsidRDefault="002F50ED" w:rsidP="009E023D">
                            <w:pPr>
                              <w:autoSpaceDE w:val="0"/>
                              <w:autoSpaceDN w:val="0"/>
                              <w:adjustRightInd w:val="0"/>
                              <w:spacing w:after="120"/>
                              <w:rPr>
                                <w:rFonts w:ascii="Verdana" w:hAnsi="Verdana"/>
                                <w:b/>
                                <w:i/>
                                <w:color w:val="FFFFFF"/>
                              </w:rPr>
                            </w:pPr>
                          </w:p>
                        </w:txbxContent>
                      </wps:txbx>
                      <wps:bodyPr rot="0" vert="horz" wrap="square" lIns="91440" tIns="45720" rIns="91440" bIns="45720" anchor="t" anchorCtr="0" upright="1">
                        <a:noAutofit/>
                      </wps:bodyPr>
                    </wps:wsp>
                  </a:graphicData>
                </a:graphic>
              </wp:inline>
            </w:drawing>
          </mc:Choice>
          <mc:Fallback>
            <w:pict>
              <v:shapetype w14:anchorId="2763D1AE" id="_x0000_t202" coordsize="21600,21600" o:spt="202" path="m,l,21600r21600,l21600,xe">
                <v:stroke joinstyle="miter"/>
                <v:path gradientshapeok="t" o:connecttype="rect"/>
              </v:shapetype>
              <v:shape id="Text Box 2" o:spid="_x0000_s1026" type="#_x0000_t202" style="width:449.6pt;height:5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" fillcolor="#0d73a5">
                <v:textbox>
                  <w:txbxContent>
                    <w:p w14:paraId="7C7885CA" w14:textId="4B472701" w:rsidR="002F50ED" w:rsidRPr="006D09E0" w:rsidRDefault="002F50ED" w:rsidP="00302BC0">
                      <w:pPr>
                        <w:autoSpaceDE w:val="0"/>
                        <w:autoSpaceDN w:val="0"/>
                        <w:adjustRightInd w:val="0"/>
                        <w:spacing w:after="120"/>
                        <w:rPr>
                          <w:rFonts w:ascii="Verdana" w:hAnsi="Verdana"/>
                          <w:b/>
                          <w:i/>
                          <w:color w:val="FFFFFF"/>
                        </w:rPr>
                      </w:pPr>
                      <w:r w:rsidRPr="006D09E0">
                        <w:rPr>
                          <w:rFonts w:ascii="Verdana" w:hAnsi="Verdana"/>
                          <w:b/>
                          <w:bCs/>
                          <w:i/>
                          <w:color w:val="FFFFFF"/>
                          <w:u w:val="single"/>
                        </w:rPr>
                        <w:t xml:space="preserve">This </w:t>
                      </w:r>
                      <w:r>
                        <w:rPr>
                          <w:rFonts w:ascii="Verdana" w:hAnsi="Verdana"/>
                          <w:b/>
                          <w:bCs/>
                          <w:i/>
                          <w:color w:val="FFFFFF"/>
                          <w:u w:val="single"/>
                        </w:rPr>
                        <w:t>resource</w:t>
                      </w:r>
                    </w:p>
                    <w:p w14:paraId="36B1A0C7" w14:textId="626E764E" w:rsidR="002F50ED" w:rsidRPr="00337C96" w:rsidRDefault="002F50ED" w:rsidP="004961F2">
                      <w:pPr>
                        <w:autoSpaceDE w:val="0"/>
                        <w:autoSpaceDN w:val="0"/>
                        <w:adjustRightInd w:val="0"/>
                        <w:spacing w:after="120"/>
                        <w:jc w:val="both"/>
                        <w:rPr>
                          <w:rFonts w:ascii="Verdana" w:hAnsi="Verdana"/>
                          <w:bCs/>
                          <w:i/>
                          <w:color w:val="FFFFFF"/>
                        </w:rPr>
                      </w:pPr>
                      <w:r w:rsidRPr="00337C96">
                        <w:rPr>
                          <w:rFonts w:ascii="Verdana" w:hAnsi="Verdana"/>
                          <w:bCs/>
                          <w:i/>
                          <w:color w:val="FFFFFF"/>
                        </w:rPr>
                        <w:t>This resource has been created by the Royal Osteoporosis Society as part of the Fracture Liaison Service Implementation Toolkit (FLS-IT). The aim of the toolkit is to take some of the hard work out of establishing a new Fracture Liaison Service or improving an existing one.</w:t>
                      </w:r>
                    </w:p>
                    <w:p w14:paraId="679AABF2" w14:textId="77777777" w:rsidR="002F50ED" w:rsidRDefault="002F50ED" w:rsidP="004961F2">
                      <w:pPr>
                        <w:autoSpaceDE w:val="0"/>
                        <w:autoSpaceDN w:val="0"/>
                        <w:adjustRightInd w:val="0"/>
                        <w:spacing w:after="120"/>
                        <w:jc w:val="both"/>
                        <w:rPr>
                          <w:rFonts w:ascii="Verdana" w:hAnsi="Verdana"/>
                          <w:bCs/>
                          <w:i/>
                          <w:color w:val="FFFFFF"/>
                        </w:rPr>
                      </w:pPr>
                      <w:r w:rsidRPr="00337C96">
                        <w:rPr>
                          <w:rFonts w:ascii="Verdana" w:hAnsi="Verdana"/>
                          <w:bCs/>
                          <w:i/>
                          <w:color w:val="FFFFFF"/>
                        </w:rPr>
                        <w:t>Th</w:t>
                      </w:r>
                      <w:r>
                        <w:rPr>
                          <w:rFonts w:ascii="Verdana" w:hAnsi="Verdana"/>
                          <w:bCs/>
                          <w:i/>
                          <w:color w:val="FFFFFF"/>
                        </w:rPr>
                        <w:t>is resource</w:t>
                      </w:r>
                      <w:r w:rsidRPr="00337C96">
                        <w:rPr>
                          <w:rFonts w:ascii="Verdana" w:hAnsi="Verdana"/>
                          <w:bCs/>
                          <w:i/>
                          <w:color w:val="FFFFFF"/>
                        </w:rPr>
                        <w:t xml:space="preserve"> has been created by working</w:t>
                      </w:r>
                      <w:r>
                        <w:rPr>
                          <w:rFonts w:ascii="Verdana" w:hAnsi="Verdana"/>
                          <w:bCs/>
                          <w:i/>
                          <w:color w:val="FFFFFF"/>
                        </w:rPr>
                        <w:t xml:space="preserve"> with</w:t>
                      </w:r>
                      <w:r w:rsidRPr="00337C96">
                        <w:rPr>
                          <w:rFonts w:ascii="Verdana" w:hAnsi="Verdana"/>
                          <w:bCs/>
                          <w:i/>
                          <w:color w:val="FFFFFF"/>
                        </w:rPr>
                        <w:t xml:space="preserve"> NHS professionals from across the UK and makes use of current policy and recognised best practices. This </w:t>
                      </w:r>
                      <w:r>
                        <w:rPr>
                          <w:rFonts w:ascii="Verdana" w:hAnsi="Verdana"/>
                          <w:bCs/>
                          <w:i/>
                          <w:color w:val="FFFFFF"/>
                        </w:rPr>
                        <w:t>resource</w:t>
                      </w:r>
                      <w:r w:rsidRPr="00337C96">
                        <w:rPr>
                          <w:rFonts w:ascii="Verdana" w:hAnsi="Verdana"/>
                          <w:bCs/>
                          <w:i/>
                          <w:color w:val="FFFFFF"/>
                        </w:rPr>
                        <w:t xml:space="preserve"> and the other tools in the toolkit have been designed to save the user the time and trouble of researching, </w:t>
                      </w:r>
                      <w:proofErr w:type="gramStart"/>
                      <w:r w:rsidRPr="00337C96">
                        <w:rPr>
                          <w:rFonts w:ascii="Verdana" w:hAnsi="Verdana"/>
                          <w:bCs/>
                          <w:i/>
                          <w:color w:val="FFFFFF"/>
                        </w:rPr>
                        <w:t>drafting</w:t>
                      </w:r>
                      <w:proofErr w:type="gramEnd"/>
                      <w:r w:rsidRPr="00337C96">
                        <w:rPr>
                          <w:rFonts w:ascii="Verdana" w:hAnsi="Verdana"/>
                          <w:bCs/>
                          <w:i/>
                          <w:color w:val="FFFFFF"/>
                        </w:rPr>
                        <w:t xml:space="preserve"> and editing a document or workbook from scratch. References have been included where relevant. </w:t>
                      </w:r>
                    </w:p>
                    <w:p w14:paraId="5771B8A6" w14:textId="03C95D12" w:rsidR="002F50ED" w:rsidRPr="00337C96" w:rsidRDefault="002F50ED" w:rsidP="004961F2">
                      <w:pPr>
                        <w:autoSpaceDE w:val="0"/>
                        <w:autoSpaceDN w:val="0"/>
                        <w:adjustRightInd w:val="0"/>
                        <w:spacing w:after="120"/>
                        <w:jc w:val="both"/>
                        <w:rPr>
                          <w:rFonts w:ascii="Verdana" w:hAnsi="Verdana"/>
                          <w:bCs/>
                          <w:i/>
                          <w:color w:val="FFFFFF"/>
                        </w:rPr>
                      </w:pPr>
                      <w:r>
                        <w:rPr>
                          <w:rFonts w:ascii="Verdana" w:hAnsi="Verdana"/>
                          <w:bCs/>
                          <w:i/>
                          <w:color w:val="FFFFFF"/>
                        </w:rPr>
                        <w:t xml:space="preserve">Your organisation will have </w:t>
                      </w:r>
                      <w:proofErr w:type="spellStart"/>
                      <w:proofErr w:type="gramStart"/>
                      <w:r>
                        <w:rPr>
                          <w:rFonts w:ascii="Verdana" w:hAnsi="Verdana"/>
                          <w:bCs/>
                          <w:i/>
                          <w:color w:val="FFFFFF"/>
                        </w:rPr>
                        <w:t>it’s</w:t>
                      </w:r>
                      <w:proofErr w:type="spellEnd"/>
                      <w:proofErr w:type="gramEnd"/>
                      <w:r>
                        <w:rPr>
                          <w:rFonts w:ascii="Verdana" w:hAnsi="Verdana"/>
                          <w:bCs/>
                          <w:i/>
                          <w:color w:val="FFFFFF"/>
                        </w:rPr>
                        <w:t xml:space="preserve"> own business case template, so where available you should always develop your business cases using your organisations internal templates, but you could use some of the information in this resource to populate it. </w:t>
                      </w:r>
                    </w:p>
                    <w:p w14:paraId="40C5A7A6" w14:textId="5CC4C513" w:rsidR="002F50ED" w:rsidRPr="006D09E0" w:rsidRDefault="002F50ED" w:rsidP="004961F2">
                      <w:pPr>
                        <w:autoSpaceDE w:val="0"/>
                        <w:autoSpaceDN w:val="0"/>
                        <w:adjustRightInd w:val="0"/>
                        <w:spacing w:after="120"/>
                        <w:jc w:val="both"/>
                        <w:rPr>
                          <w:rFonts w:ascii="Verdana" w:hAnsi="Verdana"/>
                          <w:b/>
                          <w:i/>
                          <w:color w:val="FFFFFF" w:themeColor="background1"/>
                        </w:rPr>
                      </w:pPr>
                      <w:r w:rsidRPr="00337C96">
                        <w:rPr>
                          <w:rFonts w:ascii="Verdana" w:hAnsi="Verdana"/>
                          <w:bCs/>
                          <w:i/>
                          <w:color w:val="FFFFFF"/>
                        </w:rPr>
                        <w:t>We trust that you will find this tool/template useful. You are free to use, change, edit or adapt this</w:t>
                      </w:r>
                      <w:r>
                        <w:rPr>
                          <w:rFonts w:ascii="Verdana" w:hAnsi="Verdana"/>
                          <w:bCs/>
                          <w:i/>
                          <w:color w:val="FFFFFF"/>
                        </w:rPr>
                        <w:t xml:space="preserve"> resource</w:t>
                      </w:r>
                      <w:r w:rsidRPr="00337C96">
                        <w:rPr>
                          <w:rFonts w:ascii="Verdana" w:hAnsi="Verdana"/>
                          <w:bCs/>
                          <w:i/>
                          <w:color w:val="FFFFFF"/>
                        </w:rPr>
                        <w:t xml:space="preserve"> according to your requirements. If you have any queries or would like to make suggestions on how to improve the tool/</w:t>
                      </w:r>
                      <w:proofErr w:type="gramStart"/>
                      <w:r w:rsidRPr="00337C96">
                        <w:rPr>
                          <w:rFonts w:ascii="Verdana" w:hAnsi="Verdana"/>
                          <w:bCs/>
                          <w:i/>
                          <w:color w:val="FFFFFF"/>
                        </w:rPr>
                        <w:t>template</w:t>
                      </w:r>
                      <w:proofErr w:type="gramEnd"/>
                      <w:r w:rsidRPr="00337C96">
                        <w:rPr>
                          <w:rFonts w:ascii="Verdana" w:hAnsi="Verdana"/>
                          <w:bCs/>
                          <w:i/>
                          <w:color w:val="FFFFFF"/>
                        </w:rPr>
                        <w:t xml:space="preserve"> please contact us at the Royal Osteoporosis Society. If you would like to see or to download other tools please go to</w:t>
                      </w:r>
                      <w:r w:rsidRPr="006D09E0">
                        <w:rPr>
                          <w:rFonts w:ascii="Verdana" w:hAnsi="Verdana"/>
                          <w:b/>
                          <w:i/>
                          <w:color w:val="FFFFFF"/>
                        </w:rPr>
                        <w:t xml:space="preserve"> </w:t>
                      </w:r>
                      <w:hyperlink r:id="rId12" w:history="1">
                        <w:r w:rsidRPr="00337C96">
                          <w:rPr>
                            <w:rStyle w:val="Hyperlink"/>
                            <w:b/>
                            <w:bCs/>
                            <w:color w:val="FFFFFF" w:themeColor="background1"/>
                            <w:szCs w:val="22"/>
                          </w:rPr>
                          <w:t>https://theros.org.uk/healthcare-professionals/fracture-liaison-services/implementation-toolkit/</w:t>
                        </w:r>
                      </w:hyperlink>
                    </w:p>
                    <w:p w14:paraId="79BD61FE" w14:textId="77777777" w:rsidR="002F50ED" w:rsidRPr="006D09E0" w:rsidRDefault="002F50ED" w:rsidP="004961F2">
                      <w:pPr>
                        <w:autoSpaceDE w:val="0"/>
                        <w:autoSpaceDN w:val="0"/>
                        <w:adjustRightInd w:val="0"/>
                        <w:spacing w:after="120"/>
                        <w:jc w:val="both"/>
                        <w:rPr>
                          <w:rFonts w:ascii="Verdana" w:hAnsi="Verdana"/>
                          <w:b/>
                          <w:i/>
                          <w:color w:val="FFFFFF"/>
                        </w:rPr>
                      </w:pPr>
                      <w:r w:rsidRPr="006D09E0">
                        <w:rPr>
                          <w:rFonts w:ascii="Verdana" w:hAnsi="Verdana"/>
                          <w:b/>
                          <w:bCs/>
                          <w:i/>
                          <w:color w:val="FFFFFF"/>
                          <w:u w:val="single"/>
                        </w:rPr>
                        <w:t>Disclaimer</w:t>
                      </w:r>
                    </w:p>
                    <w:p w14:paraId="7165538B" w14:textId="5FD057CB" w:rsidR="002F50ED" w:rsidRPr="006D09E0" w:rsidRDefault="002F50ED" w:rsidP="004961F2">
                      <w:pPr>
                        <w:autoSpaceDE w:val="0"/>
                        <w:autoSpaceDN w:val="0"/>
                        <w:adjustRightInd w:val="0"/>
                        <w:spacing w:after="120"/>
                        <w:jc w:val="both"/>
                        <w:rPr>
                          <w:rFonts w:ascii="Verdana" w:hAnsi="Verdana"/>
                          <w:i/>
                          <w:color w:val="FFFFFF"/>
                        </w:rPr>
                      </w:pPr>
                      <w:r w:rsidRPr="006D09E0">
                        <w:rPr>
                          <w:rFonts w:ascii="Verdana" w:hAnsi="Verdana"/>
                          <w:i/>
                          <w:color w:val="FFFFFF"/>
                        </w:rPr>
                        <w:t xml:space="preserve">This </w:t>
                      </w:r>
                      <w:r>
                        <w:rPr>
                          <w:rFonts w:ascii="Verdana" w:hAnsi="Verdana"/>
                          <w:i/>
                          <w:color w:val="FFFFFF"/>
                        </w:rPr>
                        <w:t>resource</w:t>
                      </w:r>
                      <w:r w:rsidRPr="006D09E0">
                        <w:rPr>
                          <w:rFonts w:ascii="Verdana" w:hAnsi="Verdana"/>
                          <w:i/>
                          <w:color w:val="FFFFFF"/>
                        </w:rPr>
                        <w:t xml:space="preserve"> is provided free by the </w:t>
                      </w:r>
                      <w:r>
                        <w:rPr>
                          <w:rFonts w:ascii="Verdana" w:hAnsi="Verdana"/>
                          <w:i/>
                          <w:color w:val="FFFFFF"/>
                        </w:rPr>
                        <w:t>Royal</w:t>
                      </w:r>
                      <w:r w:rsidRPr="006D09E0">
                        <w:rPr>
                          <w:rFonts w:ascii="Verdana" w:hAnsi="Verdana"/>
                          <w:i/>
                          <w:color w:val="FFFFFF"/>
                        </w:rPr>
                        <w:t xml:space="preserve"> Osteoporosis Society as part of the Fracture Liaison Service Implementation Toolkit. This </w:t>
                      </w:r>
                      <w:r>
                        <w:rPr>
                          <w:rFonts w:ascii="Verdana" w:hAnsi="Verdana"/>
                          <w:i/>
                          <w:color w:val="FFFFFF"/>
                        </w:rPr>
                        <w:t>resource</w:t>
                      </w:r>
                      <w:r w:rsidRPr="006D09E0">
                        <w:rPr>
                          <w:rFonts w:ascii="Verdana" w:hAnsi="Verdana"/>
                          <w:i/>
                          <w:color w:val="FFFFFF"/>
                        </w:rPr>
                        <w:t xml:space="preserve"> does not represent the views of the </w:t>
                      </w:r>
                      <w:r>
                        <w:rPr>
                          <w:rFonts w:ascii="Verdana" w:hAnsi="Verdana"/>
                          <w:i/>
                          <w:color w:val="FFFFFF"/>
                        </w:rPr>
                        <w:t>Roy</w:t>
                      </w:r>
                      <w:r w:rsidRPr="006D09E0">
                        <w:rPr>
                          <w:rFonts w:ascii="Verdana" w:hAnsi="Verdana"/>
                          <w:i/>
                          <w:color w:val="FFFFFF"/>
                        </w:rPr>
                        <w:t xml:space="preserve">al Osteoporosis Society.  While every effort has been made to ensure that the information contained within this document is accurate and in full compliance with UK law and with best practice, at the time of writing, there is no guarantee as to the accuracy or reliability of the information contained herein and use of this </w:t>
                      </w:r>
                      <w:r>
                        <w:rPr>
                          <w:rFonts w:ascii="Verdana" w:hAnsi="Verdana"/>
                          <w:i/>
                          <w:color w:val="FFFFFF"/>
                        </w:rPr>
                        <w:t>resource</w:t>
                      </w:r>
                      <w:r w:rsidRPr="006D09E0">
                        <w:rPr>
                          <w:rFonts w:ascii="Verdana" w:hAnsi="Verdana"/>
                          <w:i/>
                          <w:color w:val="FFFFFF"/>
                        </w:rPr>
                        <w:t xml:space="preserve"> is entirely at the user’s risk. No liability whatsoever is accepted by the </w:t>
                      </w:r>
                      <w:r>
                        <w:rPr>
                          <w:rFonts w:ascii="Verdana" w:hAnsi="Verdana"/>
                          <w:i/>
                          <w:color w:val="FFFFFF"/>
                        </w:rPr>
                        <w:t>Roy</w:t>
                      </w:r>
                      <w:r w:rsidRPr="006D09E0">
                        <w:rPr>
                          <w:rFonts w:ascii="Verdana" w:hAnsi="Verdana"/>
                          <w:i/>
                          <w:color w:val="FFFFFF"/>
                        </w:rPr>
                        <w:t>al Osteoporosis Society.</w:t>
                      </w:r>
                    </w:p>
                    <w:p w14:paraId="5742E884" w14:textId="77777777" w:rsidR="002F50ED" w:rsidRPr="006D09E0" w:rsidRDefault="002F50ED" w:rsidP="004961F2">
                      <w:pPr>
                        <w:autoSpaceDE w:val="0"/>
                        <w:autoSpaceDN w:val="0"/>
                        <w:adjustRightInd w:val="0"/>
                        <w:spacing w:after="120"/>
                        <w:jc w:val="both"/>
                        <w:rPr>
                          <w:rFonts w:ascii="Verdana" w:hAnsi="Verdana"/>
                          <w:b/>
                          <w:i/>
                          <w:color w:val="FFFFFF"/>
                        </w:rPr>
                      </w:pPr>
                      <w:r w:rsidRPr="006D09E0">
                        <w:rPr>
                          <w:rFonts w:ascii="Verdana" w:hAnsi="Verdana"/>
                          <w:b/>
                          <w:bCs/>
                          <w:i/>
                          <w:color w:val="FFFFFF"/>
                          <w:u w:val="single"/>
                        </w:rPr>
                        <w:t>Instructions for use</w:t>
                      </w:r>
                    </w:p>
                    <w:p w14:paraId="3CDEF4E2" w14:textId="21F17205" w:rsidR="002F50ED" w:rsidRPr="006D09E0" w:rsidRDefault="002F50ED" w:rsidP="004961F2">
                      <w:pPr>
                        <w:autoSpaceDE w:val="0"/>
                        <w:autoSpaceDN w:val="0"/>
                        <w:adjustRightInd w:val="0"/>
                        <w:spacing w:after="120"/>
                        <w:jc w:val="both"/>
                        <w:rPr>
                          <w:rFonts w:ascii="Verdana" w:hAnsi="Verdana"/>
                          <w:i/>
                          <w:color w:val="FFFFFF"/>
                        </w:rPr>
                      </w:pPr>
                      <w:r w:rsidRPr="006D09E0">
                        <w:rPr>
                          <w:rFonts w:ascii="Verdana" w:hAnsi="Verdana"/>
                          <w:i/>
                          <w:color w:val="FFFFFF"/>
                        </w:rPr>
                        <w:t xml:space="preserve">The </w:t>
                      </w:r>
                      <w:r>
                        <w:rPr>
                          <w:rFonts w:ascii="Verdana" w:hAnsi="Verdana"/>
                          <w:i/>
                          <w:color w:val="FFFFFF"/>
                        </w:rPr>
                        <w:t>resource</w:t>
                      </w:r>
                      <w:r w:rsidRPr="006D09E0">
                        <w:rPr>
                          <w:rFonts w:ascii="Verdana" w:hAnsi="Verdana"/>
                          <w:i/>
                          <w:color w:val="FFFFFF"/>
                        </w:rPr>
                        <w:t xml:space="preserve"> is fully editable. Formatting has been kept to a minimum to allow flexible use when editing or copying material to use in local documents. The </w:t>
                      </w:r>
                      <w:r>
                        <w:rPr>
                          <w:rFonts w:ascii="Verdana" w:hAnsi="Verdana"/>
                          <w:i/>
                          <w:color w:val="FFFFFF"/>
                        </w:rPr>
                        <w:t>resource</w:t>
                      </w:r>
                      <w:r w:rsidRPr="006D09E0">
                        <w:rPr>
                          <w:rFonts w:ascii="Verdana" w:hAnsi="Verdana"/>
                          <w:i/>
                          <w:color w:val="FFFFFF"/>
                        </w:rPr>
                        <w:t xml:space="preserve"> may include guidance on use and/or sections where local information may need to be entered. These sections have been highlighted</w:t>
                      </w:r>
                      <w:r w:rsidRPr="006D09E0">
                        <w:rPr>
                          <w:rFonts w:ascii="Verdana" w:hAnsi="Verdana"/>
                          <w:b/>
                          <w:i/>
                          <w:color w:val="FFFFFF"/>
                        </w:rPr>
                        <w:t xml:space="preserve"> [</w:t>
                      </w:r>
                      <w:r w:rsidRPr="006D09E0">
                        <w:rPr>
                          <w:rFonts w:ascii="Verdana" w:hAnsi="Verdana"/>
                          <w:b/>
                          <w:bCs/>
                          <w:i/>
                          <w:color w:val="FFFFFF"/>
                        </w:rPr>
                        <w:t>using bold text in square brackets]</w:t>
                      </w:r>
                      <w:r w:rsidRPr="006D09E0">
                        <w:rPr>
                          <w:rFonts w:ascii="Verdana" w:hAnsi="Verdana"/>
                          <w:b/>
                          <w:i/>
                          <w:color w:val="FFFFFF"/>
                        </w:rPr>
                        <w:t xml:space="preserve">. </w:t>
                      </w:r>
                      <w:r w:rsidRPr="006D09E0">
                        <w:rPr>
                          <w:rFonts w:ascii="Verdana" w:hAnsi="Verdana"/>
                          <w:i/>
                          <w:color w:val="FFFFFF"/>
                        </w:rPr>
                        <w:t>Please delete or overwrite these sections as necessary and make any font or formatting changes.</w:t>
                      </w:r>
                    </w:p>
                    <w:p w14:paraId="50654F47" w14:textId="77777777" w:rsidR="002F50ED" w:rsidRPr="006D09E0" w:rsidRDefault="002F50ED" w:rsidP="00302BC0">
                      <w:pPr>
                        <w:autoSpaceDE w:val="0"/>
                        <w:autoSpaceDN w:val="0"/>
                        <w:adjustRightInd w:val="0"/>
                        <w:spacing w:after="120"/>
                        <w:rPr>
                          <w:rFonts w:ascii="Verdana" w:hAnsi="Verdana"/>
                          <w:b/>
                          <w:i/>
                          <w:color w:val="FFFFFF"/>
                        </w:rPr>
                      </w:pPr>
                      <w:r w:rsidRPr="006D09E0">
                        <w:rPr>
                          <w:rFonts w:ascii="Verdana" w:hAnsi="Verdana"/>
                          <w:b/>
                          <w:i/>
                          <w:color w:val="FFFFFF"/>
                        </w:rPr>
                        <w:t> </w:t>
                      </w:r>
                    </w:p>
                    <w:p w14:paraId="599F3414" w14:textId="77777777" w:rsidR="002F50ED" w:rsidRPr="006D09E0" w:rsidRDefault="002F50ED" w:rsidP="00302BC0">
                      <w:pPr>
                        <w:autoSpaceDE w:val="0"/>
                        <w:autoSpaceDN w:val="0"/>
                        <w:adjustRightInd w:val="0"/>
                        <w:spacing w:after="120"/>
                        <w:rPr>
                          <w:rFonts w:ascii="Verdana" w:hAnsi="Verdana"/>
                          <w:b/>
                          <w:i/>
                          <w:color w:val="FFFFFF"/>
                        </w:rPr>
                      </w:pPr>
                      <w:r w:rsidRPr="006D09E0">
                        <w:rPr>
                          <w:rFonts w:ascii="Verdana" w:hAnsi="Verdana"/>
                          <w:b/>
                          <w:bCs/>
                          <w:i/>
                          <w:color w:val="FFFFFF"/>
                        </w:rPr>
                        <w:t>[Please delete this box when you use the template]</w:t>
                      </w:r>
                    </w:p>
                    <w:p w14:paraId="4B9DC293" w14:textId="77777777" w:rsidR="002F50ED" w:rsidRPr="006D09E0" w:rsidRDefault="002F50ED" w:rsidP="009E023D">
                      <w:pPr>
                        <w:autoSpaceDE w:val="0"/>
                        <w:autoSpaceDN w:val="0"/>
                        <w:adjustRightInd w:val="0"/>
                        <w:spacing w:after="120"/>
                        <w:rPr>
                          <w:rFonts w:ascii="Verdana" w:hAnsi="Verdana"/>
                          <w:b/>
                          <w:i/>
                          <w:color w:val="FFFFFF"/>
                        </w:rPr>
                      </w:pPr>
                    </w:p>
                  </w:txbxContent>
                </v:textbox>
                <w10:anchorlock/>
              </v:shape>
            </w:pict>
          </mc:Fallback>
        </mc:AlternateContent>
      </w:r>
    </w:p>
    <w:p w14:paraId="1FDC7804" w14:textId="3C125CBF" w:rsidR="009E023D" w:rsidRPr="006D09E0" w:rsidRDefault="009E023D" w:rsidP="006A3439">
      <w:pPr>
        <w:rPr>
          <w:rFonts w:ascii="Verdana" w:hAnsi="Verdana"/>
        </w:rPr>
      </w:pPr>
    </w:p>
    <w:p w14:paraId="3BE20EE6" w14:textId="4BD5BCDE" w:rsidR="00302BC0" w:rsidRPr="006D09E0" w:rsidRDefault="00302BC0" w:rsidP="006A3439">
      <w:pPr>
        <w:rPr>
          <w:rFonts w:ascii="Verdana" w:hAnsi="Verdana"/>
        </w:rPr>
      </w:pPr>
    </w:p>
    <w:p w14:paraId="1E7F2A4E" w14:textId="7F6464AB" w:rsidR="00682027" w:rsidRPr="006D09E0" w:rsidRDefault="00682027" w:rsidP="006A3439">
      <w:pPr>
        <w:rPr>
          <w:rFonts w:ascii="Verdana" w:hAnsi="Verdana"/>
        </w:rPr>
      </w:pPr>
    </w:p>
    <w:p w14:paraId="4976F42C" w14:textId="77777777" w:rsidR="00682027" w:rsidRPr="006D09E0" w:rsidRDefault="00682027" w:rsidP="006A3439">
      <w:pPr>
        <w:rPr>
          <w:rFonts w:ascii="Verdana" w:hAnsi="Verdana"/>
        </w:rPr>
      </w:pPr>
    </w:p>
    <w:p w14:paraId="7439AB2E" w14:textId="4509D1BF" w:rsidR="00A20A18" w:rsidRPr="006D09E0" w:rsidRDefault="009C15D4" w:rsidP="00D714A5">
      <w:pPr>
        <w:pStyle w:val="Heading2"/>
        <w:numPr>
          <w:ilvl w:val="0"/>
          <w:numId w:val="1"/>
        </w:numPr>
        <w:ind w:left="0" w:hanging="426"/>
        <w:rPr>
          <w:rFonts w:ascii="Verdana" w:hAnsi="Verdana"/>
          <w:sz w:val="28"/>
          <w:szCs w:val="28"/>
        </w:rPr>
      </w:pPr>
      <w:r w:rsidRPr="006D09E0">
        <w:rPr>
          <w:rFonts w:ascii="Verdana" w:hAnsi="Verdana"/>
          <w:sz w:val="28"/>
          <w:szCs w:val="28"/>
        </w:rPr>
        <w:lastRenderedPageBreak/>
        <w:t xml:space="preserve">Contact </w:t>
      </w:r>
      <w:proofErr w:type="gramStart"/>
      <w:r w:rsidRPr="006D09E0">
        <w:rPr>
          <w:rFonts w:ascii="Verdana" w:hAnsi="Verdana"/>
          <w:sz w:val="28"/>
          <w:szCs w:val="28"/>
        </w:rPr>
        <w:t>d</w:t>
      </w:r>
      <w:r w:rsidR="00A20A18" w:rsidRPr="006D09E0">
        <w:rPr>
          <w:rFonts w:ascii="Verdana" w:hAnsi="Verdana"/>
          <w:sz w:val="28"/>
          <w:szCs w:val="28"/>
        </w:rPr>
        <w:t>etails</w:t>
      </w:r>
      <w:proofErr w:type="gramEnd"/>
    </w:p>
    <w:p w14:paraId="6369002A" w14:textId="77777777" w:rsidR="00A20A18" w:rsidRPr="006D09E0" w:rsidRDefault="00A20A18" w:rsidP="006A3439">
      <w:pPr>
        <w:rPr>
          <w:rFonts w:ascii="Verdana" w:hAnsi="Verdana" w:cs="Arial"/>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662"/>
      </w:tblGrid>
      <w:tr w:rsidR="00BD7C39" w:rsidRPr="006D09E0" w14:paraId="23C5E67E" w14:textId="77777777" w:rsidTr="00233524">
        <w:trPr>
          <w:trHeight w:val="610"/>
        </w:trPr>
        <w:tc>
          <w:tcPr>
            <w:tcW w:w="2127" w:type="dxa"/>
            <w:shd w:val="clear" w:color="auto" w:fill="D9D9D9" w:themeFill="background1" w:themeFillShade="D9"/>
            <w:vAlign w:val="center"/>
          </w:tcPr>
          <w:p w14:paraId="5F0492F0" w14:textId="1B273905" w:rsidR="0005699F" w:rsidRPr="006D09E0" w:rsidRDefault="00BD7C39" w:rsidP="005278E7">
            <w:pPr>
              <w:rPr>
                <w:rFonts w:ascii="Verdana" w:hAnsi="Verdana" w:cs="Arial"/>
                <w:szCs w:val="22"/>
              </w:rPr>
            </w:pPr>
            <w:r w:rsidRPr="006D09E0">
              <w:rPr>
                <w:rFonts w:ascii="Verdana" w:hAnsi="Verdana" w:cs="Arial"/>
                <w:szCs w:val="22"/>
              </w:rPr>
              <w:t>Organisation</w:t>
            </w:r>
          </w:p>
        </w:tc>
        <w:tc>
          <w:tcPr>
            <w:tcW w:w="6662" w:type="dxa"/>
            <w:vAlign w:val="center"/>
          </w:tcPr>
          <w:p w14:paraId="4D85DEEC" w14:textId="77777777" w:rsidR="00BD7C39" w:rsidRPr="006D09E0" w:rsidRDefault="00BD7C39" w:rsidP="005278E7">
            <w:pPr>
              <w:rPr>
                <w:rFonts w:ascii="Verdana" w:hAnsi="Verdana" w:cs="Arial"/>
                <w:szCs w:val="22"/>
              </w:rPr>
            </w:pPr>
          </w:p>
        </w:tc>
      </w:tr>
      <w:tr w:rsidR="00BD7C39" w:rsidRPr="006D09E0" w14:paraId="49A875B2" w14:textId="77777777" w:rsidTr="00233524">
        <w:trPr>
          <w:trHeight w:val="610"/>
        </w:trPr>
        <w:tc>
          <w:tcPr>
            <w:tcW w:w="2127" w:type="dxa"/>
            <w:shd w:val="clear" w:color="auto" w:fill="D9D9D9" w:themeFill="background1" w:themeFillShade="D9"/>
            <w:vAlign w:val="center"/>
          </w:tcPr>
          <w:p w14:paraId="732D4547" w14:textId="1E17F554" w:rsidR="0005699F" w:rsidRPr="006D09E0" w:rsidRDefault="00BD7C39" w:rsidP="005278E7">
            <w:pPr>
              <w:rPr>
                <w:rFonts w:ascii="Verdana" w:hAnsi="Verdana" w:cs="Arial"/>
                <w:szCs w:val="22"/>
              </w:rPr>
            </w:pPr>
            <w:r w:rsidRPr="006D09E0">
              <w:rPr>
                <w:rFonts w:ascii="Verdana" w:hAnsi="Verdana" w:cs="Arial"/>
                <w:szCs w:val="22"/>
              </w:rPr>
              <w:t>Name of contact</w:t>
            </w:r>
          </w:p>
        </w:tc>
        <w:tc>
          <w:tcPr>
            <w:tcW w:w="6662" w:type="dxa"/>
            <w:vAlign w:val="center"/>
          </w:tcPr>
          <w:p w14:paraId="2AC7AF9A" w14:textId="77777777" w:rsidR="00BD7C39" w:rsidRPr="006D09E0" w:rsidRDefault="00BD7C39" w:rsidP="005278E7">
            <w:pPr>
              <w:rPr>
                <w:rFonts w:ascii="Verdana" w:hAnsi="Verdana" w:cs="Arial"/>
                <w:szCs w:val="22"/>
              </w:rPr>
            </w:pPr>
          </w:p>
        </w:tc>
      </w:tr>
      <w:tr w:rsidR="00BD7C39" w:rsidRPr="006D09E0" w14:paraId="14A16985" w14:textId="77777777" w:rsidTr="00233524">
        <w:trPr>
          <w:trHeight w:val="610"/>
        </w:trPr>
        <w:tc>
          <w:tcPr>
            <w:tcW w:w="2127" w:type="dxa"/>
            <w:shd w:val="clear" w:color="auto" w:fill="D9D9D9" w:themeFill="background1" w:themeFillShade="D9"/>
            <w:vAlign w:val="center"/>
          </w:tcPr>
          <w:p w14:paraId="5EB803D4" w14:textId="77777777" w:rsidR="00BD7C39" w:rsidRPr="006D09E0" w:rsidRDefault="00DC2D9D" w:rsidP="005278E7">
            <w:pPr>
              <w:rPr>
                <w:rFonts w:ascii="Verdana" w:hAnsi="Verdana" w:cs="Arial"/>
                <w:szCs w:val="22"/>
              </w:rPr>
            </w:pPr>
            <w:r w:rsidRPr="006D09E0">
              <w:rPr>
                <w:rFonts w:ascii="Verdana" w:hAnsi="Verdana" w:cs="Arial"/>
                <w:szCs w:val="22"/>
              </w:rPr>
              <w:t xml:space="preserve">Address for </w:t>
            </w:r>
            <w:r w:rsidR="00BD7C39" w:rsidRPr="006D09E0">
              <w:rPr>
                <w:rFonts w:ascii="Verdana" w:hAnsi="Verdana" w:cs="Arial"/>
                <w:szCs w:val="22"/>
              </w:rPr>
              <w:t>correspondence</w:t>
            </w:r>
          </w:p>
        </w:tc>
        <w:tc>
          <w:tcPr>
            <w:tcW w:w="6662" w:type="dxa"/>
            <w:vAlign w:val="center"/>
          </w:tcPr>
          <w:p w14:paraId="5477D7DF" w14:textId="77777777" w:rsidR="00BD7C39" w:rsidRPr="006D09E0" w:rsidRDefault="00BD7C39" w:rsidP="005278E7">
            <w:pPr>
              <w:rPr>
                <w:rFonts w:ascii="Verdana" w:hAnsi="Verdana" w:cs="Arial"/>
                <w:szCs w:val="22"/>
              </w:rPr>
            </w:pPr>
          </w:p>
        </w:tc>
      </w:tr>
      <w:tr w:rsidR="00750817" w:rsidRPr="006D09E0" w14:paraId="3258D504" w14:textId="77777777" w:rsidTr="00233524">
        <w:trPr>
          <w:trHeight w:val="610"/>
        </w:trPr>
        <w:tc>
          <w:tcPr>
            <w:tcW w:w="2127" w:type="dxa"/>
            <w:shd w:val="clear" w:color="auto" w:fill="D9D9D9" w:themeFill="background1" w:themeFillShade="D9"/>
            <w:vAlign w:val="center"/>
          </w:tcPr>
          <w:p w14:paraId="0F59CF30" w14:textId="77777777" w:rsidR="00750817" w:rsidRPr="006D09E0" w:rsidRDefault="0005699F" w:rsidP="005278E7">
            <w:pPr>
              <w:rPr>
                <w:rFonts w:ascii="Verdana" w:hAnsi="Verdana" w:cs="Arial"/>
                <w:szCs w:val="22"/>
              </w:rPr>
            </w:pPr>
            <w:r w:rsidRPr="006D09E0">
              <w:rPr>
                <w:rFonts w:ascii="Verdana" w:hAnsi="Verdana" w:cs="Arial"/>
                <w:szCs w:val="22"/>
              </w:rPr>
              <w:t>Telephone</w:t>
            </w:r>
          </w:p>
        </w:tc>
        <w:tc>
          <w:tcPr>
            <w:tcW w:w="6662" w:type="dxa"/>
            <w:vAlign w:val="center"/>
          </w:tcPr>
          <w:p w14:paraId="036E1CF0" w14:textId="77777777" w:rsidR="00275AD4" w:rsidRPr="006D09E0" w:rsidRDefault="00275AD4" w:rsidP="005278E7">
            <w:pPr>
              <w:rPr>
                <w:rFonts w:ascii="Verdana" w:hAnsi="Verdana" w:cs="Arial"/>
                <w:szCs w:val="22"/>
              </w:rPr>
            </w:pPr>
          </w:p>
        </w:tc>
      </w:tr>
      <w:tr w:rsidR="00750817" w:rsidRPr="006D09E0" w14:paraId="572D5875" w14:textId="77777777" w:rsidTr="00233524">
        <w:trPr>
          <w:trHeight w:val="610"/>
        </w:trPr>
        <w:tc>
          <w:tcPr>
            <w:tcW w:w="2127" w:type="dxa"/>
            <w:shd w:val="clear" w:color="auto" w:fill="D9D9D9" w:themeFill="background1" w:themeFillShade="D9"/>
            <w:vAlign w:val="center"/>
          </w:tcPr>
          <w:p w14:paraId="14F0CC47" w14:textId="77777777" w:rsidR="00750817" w:rsidRPr="006D09E0" w:rsidRDefault="002A77C7" w:rsidP="005278E7">
            <w:pPr>
              <w:rPr>
                <w:rFonts w:ascii="Verdana" w:hAnsi="Verdana" w:cs="Arial"/>
                <w:szCs w:val="22"/>
              </w:rPr>
            </w:pPr>
            <w:r w:rsidRPr="006D09E0">
              <w:rPr>
                <w:rFonts w:ascii="Verdana" w:hAnsi="Verdana" w:cs="Arial"/>
                <w:szCs w:val="22"/>
              </w:rPr>
              <w:t xml:space="preserve">Email of </w:t>
            </w:r>
            <w:r w:rsidR="0005699F" w:rsidRPr="006D09E0">
              <w:rPr>
                <w:rFonts w:ascii="Verdana" w:hAnsi="Verdana" w:cs="Arial"/>
                <w:szCs w:val="22"/>
              </w:rPr>
              <w:t>l</w:t>
            </w:r>
            <w:r w:rsidRPr="006D09E0">
              <w:rPr>
                <w:rFonts w:ascii="Verdana" w:hAnsi="Verdana" w:cs="Arial"/>
                <w:szCs w:val="22"/>
              </w:rPr>
              <w:t xml:space="preserve">ead </w:t>
            </w:r>
            <w:r w:rsidR="0005699F" w:rsidRPr="006D09E0">
              <w:rPr>
                <w:rFonts w:ascii="Verdana" w:hAnsi="Verdana" w:cs="Arial"/>
                <w:szCs w:val="22"/>
              </w:rPr>
              <w:t>c</w:t>
            </w:r>
            <w:r w:rsidRPr="006D09E0">
              <w:rPr>
                <w:rFonts w:ascii="Verdana" w:hAnsi="Verdana" w:cs="Arial"/>
                <w:szCs w:val="22"/>
              </w:rPr>
              <w:t>ontact</w:t>
            </w:r>
          </w:p>
        </w:tc>
        <w:tc>
          <w:tcPr>
            <w:tcW w:w="6662" w:type="dxa"/>
            <w:vAlign w:val="center"/>
          </w:tcPr>
          <w:p w14:paraId="74D980C1" w14:textId="77777777" w:rsidR="00275AD4" w:rsidRPr="006D09E0" w:rsidRDefault="00275AD4" w:rsidP="005278E7">
            <w:pPr>
              <w:rPr>
                <w:rFonts w:ascii="Verdana" w:hAnsi="Verdana" w:cs="Arial"/>
                <w:szCs w:val="22"/>
              </w:rPr>
            </w:pPr>
          </w:p>
        </w:tc>
      </w:tr>
      <w:tr w:rsidR="00750817" w:rsidRPr="006D09E0" w14:paraId="0C006F3C" w14:textId="77777777" w:rsidTr="00233524">
        <w:trPr>
          <w:trHeight w:val="610"/>
        </w:trPr>
        <w:tc>
          <w:tcPr>
            <w:tcW w:w="2127" w:type="dxa"/>
            <w:shd w:val="clear" w:color="auto" w:fill="D9D9D9" w:themeFill="background1" w:themeFillShade="D9"/>
            <w:vAlign w:val="center"/>
          </w:tcPr>
          <w:p w14:paraId="01A77386" w14:textId="77777777" w:rsidR="0005699F" w:rsidRPr="006D09E0" w:rsidRDefault="00750817" w:rsidP="005278E7">
            <w:pPr>
              <w:rPr>
                <w:rFonts w:ascii="Verdana" w:hAnsi="Verdana" w:cs="Arial"/>
                <w:szCs w:val="22"/>
              </w:rPr>
            </w:pPr>
            <w:r w:rsidRPr="006D09E0">
              <w:rPr>
                <w:rFonts w:ascii="Verdana" w:hAnsi="Verdana" w:cs="Arial"/>
                <w:szCs w:val="22"/>
              </w:rPr>
              <w:t xml:space="preserve">Email mailing list for </w:t>
            </w:r>
            <w:r w:rsidR="0005699F" w:rsidRPr="006D09E0">
              <w:rPr>
                <w:rFonts w:ascii="Verdana" w:hAnsi="Verdana" w:cs="Arial"/>
                <w:szCs w:val="22"/>
              </w:rPr>
              <w:t>circulation</w:t>
            </w:r>
          </w:p>
        </w:tc>
        <w:tc>
          <w:tcPr>
            <w:tcW w:w="6662" w:type="dxa"/>
            <w:vAlign w:val="center"/>
          </w:tcPr>
          <w:p w14:paraId="10078831" w14:textId="77777777" w:rsidR="00275AD4" w:rsidRPr="006D09E0" w:rsidRDefault="00275AD4" w:rsidP="005278E7">
            <w:pPr>
              <w:rPr>
                <w:rFonts w:ascii="Verdana" w:hAnsi="Verdana" w:cs="Arial"/>
                <w:szCs w:val="22"/>
              </w:rPr>
            </w:pPr>
          </w:p>
        </w:tc>
      </w:tr>
    </w:tbl>
    <w:p w14:paraId="07B80EF4" w14:textId="77777777" w:rsidR="00C27E49" w:rsidRPr="006D09E0" w:rsidRDefault="00C27E49" w:rsidP="00C27E49">
      <w:pPr>
        <w:rPr>
          <w:rFonts w:ascii="Verdana" w:hAnsi="Verdana" w:cs="Arial"/>
          <w:sz w:val="24"/>
        </w:rPr>
      </w:pPr>
    </w:p>
    <w:p w14:paraId="3B2260AC" w14:textId="77777777" w:rsidR="00900660" w:rsidRPr="006D09E0" w:rsidRDefault="00900660" w:rsidP="00D714A5">
      <w:pPr>
        <w:pStyle w:val="Heading2"/>
        <w:numPr>
          <w:ilvl w:val="0"/>
          <w:numId w:val="1"/>
        </w:numPr>
        <w:ind w:left="0" w:hanging="426"/>
        <w:jc w:val="both"/>
        <w:rPr>
          <w:rFonts w:ascii="Verdana" w:hAnsi="Verdana"/>
          <w:sz w:val="28"/>
          <w:szCs w:val="28"/>
        </w:rPr>
      </w:pPr>
      <w:r w:rsidRPr="006D09E0">
        <w:rPr>
          <w:rFonts w:ascii="Verdana" w:hAnsi="Verdana"/>
          <w:sz w:val="28"/>
          <w:szCs w:val="28"/>
        </w:rPr>
        <w:t xml:space="preserve">Executive </w:t>
      </w:r>
      <w:r w:rsidR="001D5782" w:rsidRPr="006D09E0">
        <w:rPr>
          <w:rFonts w:ascii="Verdana" w:hAnsi="Verdana"/>
          <w:sz w:val="28"/>
          <w:szCs w:val="28"/>
        </w:rPr>
        <w:t>s</w:t>
      </w:r>
      <w:r w:rsidRPr="006D09E0">
        <w:rPr>
          <w:rFonts w:ascii="Verdana" w:hAnsi="Verdana"/>
          <w:sz w:val="28"/>
          <w:szCs w:val="28"/>
        </w:rPr>
        <w:t xml:space="preserve">ummary </w:t>
      </w:r>
    </w:p>
    <w:p w14:paraId="5C9DCE84" w14:textId="024740E8" w:rsidR="00601E9E" w:rsidRPr="006D09E0" w:rsidRDefault="00601E9E">
      <w:pPr>
        <w:spacing w:after="120"/>
        <w:jc w:val="both"/>
        <w:rPr>
          <w:rFonts w:ascii="Verdana" w:hAnsi="Verdana" w:cs="Arial"/>
          <w:szCs w:val="22"/>
        </w:rPr>
      </w:pPr>
      <w:r w:rsidRPr="006D09E0">
        <w:rPr>
          <w:rFonts w:ascii="Verdana" w:hAnsi="Verdana" w:cs="Arial"/>
          <w:szCs w:val="22"/>
        </w:rPr>
        <w:t>A</w:t>
      </w:r>
      <w:r w:rsidR="009F5314" w:rsidRPr="006D09E0">
        <w:rPr>
          <w:rFonts w:ascii="Verdana" w:hAnsi="Verdana" w:cs="Arial"/>
          <w:szCs w:val="22"/>
        </w:rPr>
        <w:t xml:space="preserve"> Fracture Liaison Service (FLS)</w:t>
      </w:r>
      <w:r w:rsidRPr="006D09E0">
        <w:rPr>
          <w:rFonts w:ascii="Verdana" w:hAnsi="Verdana" w:cs="Arial"/>
          <w:szCs w:val="22"/>
        </w:rPr>
        <w:t xml:space="preserve"> is a multidisciplinary service</w:t>
      </w:r>
      <w:r w:rsidR="009F5314" w:rsidRPr="006D09E0">
        <w:rPr>
          <w:rFonts w:ascii="Verdana" w:hAnsi="Verdana" w:cs="Arial"/>
          <w:szCs w:val="22"/>
        </w:rPr>
        <w:t>, which</w:t>
      </w:r>
      <w:r w:rsidRPr="006D09E0">
        <w:rPr>
          <w:rFonts w:ascii="Verdana" w:hAnsi="Verdana" w:cs="Arial"/>
          <w:szCs w:val="22"/>
        </w:rPr>
        <w:t xml:space="preserve"> aims to systematically identify, </w:t>
      </w:r>
      <w:r w:rsidR="0081781F" w:rsidRPr="006D09E0">
        <w:rPr>
          <w:rFonts w:ascii="Verdana" w:hAnsi="Verdana" w:cs="Arial"/>
          <w:szCs w:val="22"/>
        </w:rPr>
        <w:t>investigate</w:t>
      </w:r>
      <w:r w:rsidR="00AD21D7" w:rsidRPr="006D09E0">
        <w:rPr>
          <w:rFonts w:ascii="Verdana" w:hAnsi="Verdana" w:cs="Arial"/>
          <w:szCs w:val="22"/>
        </w:rPr>
        <w:t xml:space="preserve">, </w:t>
      </w:r>
      <w:r w:rsidR="0081781F" w:rsidRPr="006D09E0">
        <w:rPr>
          <w:rFonts w:ascii="Verdana" w:hAnsi="Verdana" w:cs="Arial"/>
          <w:szCs w:val="22"/>
        </w:rPr>
        <w:t xml:space="preserve">initiate </w:t>
      </w:r>
      <w:r w:rsidR="00141C4C" w:rsidRPr="006D09E0">
        <w:rPr>
          <w:rFonts w:ascii="Verdana" w:hAnsi="Verdana" w:cs="Arial"/>
          <w:szCs w:val="22"/>
        </w:rPr>
        <w:t>treatment,</w:t>
      </w:r>
      <w:r w:rsidR="0081781F" w:rsidRPr="006D09E0">
        <w:rPr>
          <w:rFonts w:ascii="Verdana" w:hAnsi="Verdana" w:cs="Arial"/>
          <w:szCs w:val="22"/>
        </w:rPr>
        <w:t xml:space="preserve"> and integrate care</w:t>
      </w:r>
      <w:r w:rsidR="00AD21D7" w:rsidRPr="006D09E0">
        <w:rPr>
          <w:rFonts w:ascii="Verdana" w:hAnsi="Verdana" w:cs="Arial"/>
          <w:szCs w:val="22"/>
        </w:rPr>
        <w:t xml:space="preserve"> for</w:t>
      </w:r>
      <w:r w:rsidR="009C15D4" w:rsidRPr="006D09E0">
        <w:rPr>
          <w:rFonts w:ascii="Verdana" w:hAnsi="Verdana" w:cs="Arial"/>
          <w:szCs w:val="22"/>
        </w:rPr>
        <w:t xml:space="preserve"> </w:t>
      </w:r>
      <w:r w:rsidRPr="006D09E0">
        <w:rPr>
          <w:rFonts w:ascii="Verdana" w:hAnsi="Verdana" w:cs="Arial"/>
          <w:szCs w:val="22"/>
        </w:rPr>
        <w:t>all eligible patients</w:t>
      </w:r>
      <w:r w:rsidR="00AD21D7" w:rsidRPr="006D09E0">
        <w:rPr>
          <w:rFonts w:ascii="Verdana" w:hAnsi="Verdana" w:cs="Arial"/>
          <w:szCs w:val="22"/>
        </w:rPr>
        <w:t>, over the age of 50</w:t>
      </w:r>
      <w:r w:rsidRPr="006D09E0">
        <w:rPr>
          <w:rFonts w:ascii="Verdana" w:hAnsi="Verdana" w:cs="Arial"/>
          <w:szCs w:val="22"/>
        </w:rPr>
        <w:t xml:space="preserve"> within a local population who have suffered </w:t>
      </w:r>
      <w:r w:rsidR="0081781F" w:rsidRPr="006D09E0">
        <w:rPr>
          <w:rFonts w:ascii="Verdana" w:hAnsi="Verdana" w:cs="Arial"/>
          <w:szCs w:val="22"/>
        </w:rPr>
        <w:t xml:space="preserve">a </w:t>
      </w:r>
      <w:r w:rsidRPr="006D09E0">
        <w:rPr>
          <w:rFonts w:ascii="Verdana" w:hAnsi="Verdana" w:cs="Arial"/>
          <w:szCs w:val="22"/>
        </w:rPr>
        <w:t>fragil</w:t>
      </w:r>
      <w:r w:rsidR="0081781F" w:rsidRPr="006D09E0">
        <w:rPr>
          <w:rFonts w:ascii="Verdana" w:hAnsi="Verdana" w:cs="Arial"/>
          <w:szCs w:val="22"/>
        </w:rPr>
        <w:t>ity fracture</w:t>
      </w:r>
      <w:r w:rsidR="009C15D4" w:rsidRPr="006D09E0">
        <w:rPr>
          <w:rFonts w:ascii="Verdana" w:hAnsi="Verdana" w:cs="Arial"/>
          <w:szCs w:val="22"/>
        </w:rPr>
        <w:t>;</w:t>
      </w:r>
      <w:r w:rsidRPr="006D09E0">
        <w:rPr>
          <w:rFonts w:ascii="Verdana" w:hAnsi="Verdana" w:cs="Arial"/>
          <w:szCs w:val="22"/>
        </w:rPr>
        <w:t xml:space="preserve"> with the aim of reducing their risk of subsequent (or secondary) fractures. </w:t>
      </w:r>
    </w:p>
    <w:p w14:paraId="179B1E2D" w14:textId="09D02652" w:rsidR="00224DAB" w:rsidRPr="006D09E0" w:rsidRDefault="00224DAB" w:rsidP="00224DAB">
      <w:pPr>
        <w:pStyle w:val="Default"/>
        <w:spacing w:after="120"/>
        <w:jc w:val="both"/>
        <w:rPr>
          <w:rFonts w:ascii="Verdana" w:hAnsi="Verdana"/>
          <w:sz w:val="22"/>
          <w:szCs w:val="22"/>
        </w:rPr>
      </w:pPr>
      <w:r w:rsidRPr="006D09E0">
        <w:rPr>
          <w:rFonts w:ascii="Verdana" w:hAnsi="Verdana"/>
          <w:sz w:val="22"/>
          <w:szCs w:val="22"/>
        </w:rPr>
        <w:t xml:space="preserve">This paper </w:t>
      </w:r>
      <w:r w:rsidR="0065158B">
        <w:rPr>
          <w:rFonts w:ascii="Verdana" w:hAnsi="Verdana"/>
          <w:sz w:val="22"/>
          <w:szCs w:val="22"/>
        </w:rPr>
        <w:t>proposes the commissioning of a</w:t>
      </w:r>
      <w:r w:rsidR="00AE2B53">
        <w:rPr>
          <w:rFonts w:ascii="Verdana" w:hAnsi="Verdana"/>
          <w:sz w:val="22"/>
          <w:szCs w:val="22"/>
        </w:rPr>
        <w:t>n</w:t>
      </w:r>
      <w:r w:rsidRPr="006D09E0">
        <w:rPr>
          <w:rFonts w:ascii="Verdana" w:hAnsi="Verdana"/>
          <w:sz w:val="22"/>
          <w:szCs w:val="22"/>
        </w:rPr>
        <w:t xml:space="preserve"> FLS for the </w:t>
      </w:r>
      <w:r w:rsidR="00AE2B53" w:rsidRPr="00AE2B53">
        <w:rPr>
          <w:rFonts w:ascii="Verdana" w:hAnsi="Verdana"/>
          <w:b/>
          <w:sz w:val="22"/>
          <w:szCs w:val="22"/>
        </w:rPr>
        <w:t>[</w:t>
      </w:r>
      <w:r w:rsidRPr="00AE2B53">
        <w:rPr>
          <w:rFonts w:ascii="Verdana" w:hAnsi="Verdana"/>
          <w:b/>
          <w:sz w:val="22"/>
          <w:szCs w:val="22"/>
        </w:rPr>
        <w:t>patient population attending</w:t>
      </w:r>
      <w:r w:rsidR="00AE2B53" w:rsidRPr="00AE2B53">
        <w:rPr>
          <w:rFonts w:ascii="Verdana" w:hAnsi="Verdana"/>
          <w:b/>
          <w:sz w:val="22"/>
          <w:szCs w:val="22"/>
        </w:rPr>
        <w:t xml:space="preserve"> </w:t>
      </w:r>
      <w:r w:rsidR="00AE2B53">
        <w:rPr>
          <w:rFonts w:ascii="Verdana" w:hAnsi="Verdana"/>
          <w:b/>
          <w:sz w:val="22"/>
          <w:szCs w:val="22"/>
        </w:rPr>
        <w:t xml:space="preserve">- </w:t>
      </w:r>
      <w:r w:rsidRPr="006D09E0">
        <w:rPr>
          <w:rFonts w:ascii="Verdana" w:hAnsi="Verdana"/>
          <w:b/>
          <w:sz w:val="22"/>
          <w:szCs w:val="22"/>
        </w:rPr>
        <w:t>insert organisation</w:t>
      </w:r>
      <w:r w:rsidR="00AE2B53">
        <w:rPr>
          <w:rFonts w:ascii="Verdana" w:hAnsi="Verdana"/>
          <w:b/>
          <w:sz w:val="22"/>
          <w:szCs w:val="22"/>
        </w:rPr>
        <w:t xml:space="preserve"> - OR the population of - insert appropriate CCG</w:t>
      </w:r>
      <w:r w:rsidR="00337C96">
        <w:rPr>
          <w:rFonts w:ascii="Verdana" w:hAnsi="Verdana"/>
          <w:b/>
          <w:sz w:val="22"/>
          <w:szCs w:val="22"/>
        </w:rPr>
        <w:t xml:space="preserve">/Health </w:t>
      </w:r>
      <w:r w:rsidR="00257D7A">
        <w:rPr>
          <w:rFonts w:ascii="Verdana" w:hAnsi="Verdana"/>
          <w:b/>
          <w:sz w:val="22"/>
          <w:szCs w:val="22"/>
        </w:rPr>
        <w:t>B</w:t>
      </w:r>
      <w:r w:rsidR="00337C96">
        <w:rPr>
          <w:rFonts w:ascii="Verdana" w:hAnsi="Verdana"/>
          <w:b/>
          <w:sz w:val="22"/>
          <w:szCs w:val="22"/>
        </w:rPr>
        <w:t>oard</w:t>
      </w:r>
      <w:r w:rsidR="00AE2B53">
        <w:rPr>
          <w:rFonts w:ascii="Verdana" w:hAnsi="Verdana"/>
          <w:b/>
          <w:sz w:val="22"/>
          <w:szCs w:val="22"/>
        </w:rPr>
        <w:t>]</w:t>
      </w:r>
      <w:r w:rsidRPr="006D09E0">
        <w:rPr>
          <w:rFonts w:ascii="Verdana" w:hAnsi="Verdana"/>
          <w:sz w:val="22"/>
          <w:szCs w:val="22"/>
        </w:rPr>
        <w:t>. Once cost of service provision has been considered</w:t>
      </w:r>
      <w:r w:rsidR="005278E7">
        <w:rPr>
          <w:rFonts w:ascii="Verdana" w:hAnsi="Verdana"/>
          <w:sz w:val="22"/>
          <w:szCs w:val="22"/>
        </w:rPr>
        <w:t>,</w:t>
      </w:r>
      <w:r w:rsidRPr="006D09E0">
        <w:rPr>
          <w:rFonts w:ascii="Verdana" w:hAnsi="Verdana"/>
          <w:sz w:val="22"/>
          <w:szCs w:val="22"/>
        </w:rPr>
        <w:t xml:space="preserve"> the estimated </w:t>
      </w:r>
      <w:r w:rsidR="00AE2B53">
        <w:rPr>
          <w:rFonts w:ascii="Verdana" w:hAnsi="Verdana"/>
          <w:sz w:val="22"/>
          <w:szCs w:val="22"/>
        </w:rPr>
        <w:t xml:space="preserve">net </w:t>
      </w:r>
      <w:r w:rsidRPr="006D09E0">
        <w:rPr>
          <w:rFonts w:ascii="Verdana" w:hAnsi="Verdana"/>
          <w:sz w:val="22"/>
          <w:szCs w:val="22"/>
        </w:rPr>
        <w:t xml:space="preserve">financial benefits to the health and social care economies over the next 5 years are </w:t>
      </w:r>
      <w:r w:rsidRPr="006D09E0">
        <w:rPr>
          <w:rFonts w:ascii="Verdana" w:hAnsi="Verdana"/>
          <w:b/>
          <w:sz w:val="22"/>
          <w:szCs w:val="22"/>
        </w:rPr>
        <w:t>[benefits-costs=insert figure here]</w:t>
      </w:r>
      <w:r w:rsidRPr="006D09E0">
        <w:rPr>
          <w:rFonts w:ascii="Verdana" w:hAnsi="Verdana"/>
          <w:sz w:val="22"/>
          <w:szCs w:val="22"/>
        </w:rPr>
        <w:t>.</w:t>
      </w:r>
    </w:p>
    <w:p w14:paraId="2C29CF6F" w14:textId="6CFF0653" w:rsidR="004F696D" w:rsidRPr="006D09E0" w:rsidRDefault="004F696D" w:rsidP="004F696D">
      <w:pPr>
        <w:spacing w:after="120"/>
        <w:jc w:val="both"/>
        <w:rPr>
          <w:rFonts w:ascii="Verdana" w:hAnsi="Verdana" w:cs="Arial"/>
          <w:b/>
          <w:szCs w:val="22"/>
        </w:rPr>
      </w:pPr>
      <w:r w:rsidRPr="006D09E0">
        <w:rPr>
          <w:rFonts w:ascii="Verdana" w:hAnsi="Verdana" w:cs="Arial"/>
          <w:b/>
          <w:szCs w:val="22"/>
        </w:rPr>
        <w:t>Why commission</w:t>
      </w:r>
      <w:r w:rsidR="00056BFD" w:rsidRPr="006D09E0">
        <w:rPr>
          <w:rFonts w:ascii="Verdana" w:hAnsi="Verdana" w:cs="Arial"/>
          <w:b/>
          <w:szCs w:val="22"/>
        </w:rPr>
        <w:t xml:space="preserve"> a</w:t>
      </w:r>
      <w:r w:rsidR="00AE2B53">
        <w:rPr>
          <w:rFonts w:ascii="Verdana" w:hAnsi="Verdana" w:cs="Arial"/>
          <w:b/>
          <w:szCs w:val="22"/>
        </w:rPr>
        <w:t>n</w:t>
      </w:r>
      <w:r w:rsidR="00056BFD" w:rsidRPr="006D09E0">
        <w:rPr>
          <w:rFonts w:ascii="Verdana" w:hAnsi="Verdana" w:cs="Arial"/>
          <w:b/>
          <w:szCs w:val="22"/>
        </w:rPr>
        <w:t xml:space="preserve"> FLS</w:t>
      </w:r>
      <w:r w:rsidRPr="006D09E0">
        <w:rPr>
          <w:rFonts w:ascii="Verdana" w:hAnsi="Verdana" w:cs="Arial"/>
          <w:b/>
          <w:szCs w:val="22"/>
        </w:rPr>
        <w:t>?</w:t>
      </w:r>
      <w:r w:rsidR="00056BFD" w:rsidRPr="006D09E0">
        <w:rPr>
          <w:rFonts w:ascii="Verdana" w:hAnsi="Verdana" w:cs="Arial"/>
          <w:b/>
          <w:szCs w:val="22"/>
        </w:rPr>
        <w:t xml:space="preserve"> </w:t>
      </w:r>
    </w:p>
    <w:p w14:paraId="1F7F614A" w14:textId="77777777" w:rsidR="00704E7B" w:rsidRDefault="00704E7B" w:rsidP="00704E7B">
      <w:pPr>
        <w:autoSpaceDE w:val="0"/>
        <w:autoSpaceDN w:val="0"/>
        <w:adjustRightInd w:val="0"/>
        <w:spacing w:after="120"/>
        <w:jc w:val="both"/>
        <w:rPr>
          <w:rFonts w:ascii="Verdana" w:hAnsi="Verdana" w:cs="Arial"/>
          <w:szCs w:val="22"/>
        </w:rPr>
      </w:pPr>
      <w:bookmarkStart w:id="0" w:name="_Hlk535584592"/>
      <w:r w:rsidRPr="00B40477">
        <w:rPr>
          <w:rFonts w:ascii="Verdana" w:hAnsi="Verdana"/>
          <w:szCs w:val="22"/>
        </w:rPr>
        <w:t xml:space="preserve">The FLS model has demonstrated that it is uniquely effective in preventing secondary fractures by delivering assessments to 95-97% of </w:t>
      </w:r>
      <w:proofErr w:type="gramStart"/>
      <w:r w:rsidRPr="00B40477">
        <w:rPr>
          <w:rFonts w:ascii="Verdana" w:hAnsi="Verdana"/>
          <w:szCs w:val="22"/>
        </w:rPr>
        <w:t>at risk</w:t>
      </w:r>
      <w:proofErr w:type="gramEnd"/>
      <w:r w:rsidRPr="00B40477">
        <w:rPr>
          <w:rFonts w:ascii="Verdana" w:hAnsi="Verdana"/>
          <w:szCs w:val="22"/>
        </w:rPr>
        <w:t xml:space="preserve"> patients within the local population as opposed to </w:t>
      </w:r>
      <w:r>
        <w:rPr>
          <w:rFonts w:ascii="Verdana" w:hAnsi="Verdana"/>
          <w:szCs w:val="22"/>
        </w:rPr>
        <w:t xml:space="preserve">only </w:t>
      </w:r>
      <w:r w:rsidRPr="00B40477">
        <w:rPr>
          <w:rFonts w:ascii="Verdana" w:hAnsi="Verdana"/>
          <w:szCs w:val="22"/>
        </w:rPr>
        <w:t xml:space="preserve">25% of patients </w:t>
      </w:r>
      <w:r>
        <w:rPr>
          <w:rFonts w:ascii="Verdana" w:hAnsi="Verdana"/>
          <w:szCs w:val="22"/>
        </w:rPr>
        <w:t>being assessed with other service models</w:t>
      </w:r>
      <w:r w:rsidRPr="00B40477">
        <w:rPr>
          <w:rStyle w:val="EndnoteReference"/>
          <w:rFonts w:ascii="Verdana" w:hAnsi="Verdana"/>
          <w:szCs w:val="22"/>
        </w:rPr>
        <w:endnoteReference w:id="1"/>
      </w:r>
      <w:r w:rsidRPr="00B40477">
        <w:rPr>
          <w:rFonts w:ascii="Verdana" w:hAnsi="Verdana"/>
          <w:szCs w:val="22"/>
        </w:rPr>
        <w:t xml:space="preserve">. The FLS model is associated with </w:t>
      </w:r>
      <w:r>
        <w:rPr>
          <w:rFonts w:ascii="Verdana" w:hAnsi="Verdana"/>
          <w:szCs w:val="22"/>
        </w:rPr>
        <w:t xml:space="preserve">increased </w:t>
      </w:r>
      <w:r w:rsidRPr="00B40477">
        <w:rPr>
          <w:rFonts w:ascii="Verdana" w:hAnsi="Verdana"/>
          <w:szCs w:val="22"/>
        </w:rPr>
        <w:t>treatment initiation and adherence to treatment (65%–88% at 1 year)</w:t>
      </w:r>
      <w:r>
        <w:rPr>
          <w:rStyle w:val="EndnoteReference"/>
          <w:rFonts w:ascii="Verdana" w:hAnsi="Verdana"/>
          <w:szCs w:val="22"/>
        </w:rPr>
        <w:endnoteReference w:id="2"/>
      </w:r>
      <w:r>
        <w:rPr>
          <w:rFonts w:ascii="Verdana" w:hAnsi="Verdana"/>
          <w:szCs w:val="22"/>
        </w:rPr>
        <w:t xml:space="preserve">. </w:t>
      </w:r>
      <w:r w:rsidRPr="00B40477">
        <w:rPr>
          <w:rFonts w:ascii="Verdana" w:hAnsi="Verdana"/>
          <w:szCs w:val="22"/>
        </w:rPr>
        <w:t xml:space="preserve"> Organisations with an FLS were found to have a 40% reduction in the 3-year risk of secondary fragility fractures to major bones and a 30% reduction of re-fracture to any bone</w:t>
      </w:r>
      <w:r w:rsidRPr="00B40477">
        <w:rPr>
          <w:rFonts w:ascii="Verdana" w:hAnsi="Verdana"/>
          <w:szCs w:val="22"/>
          <w:vertAlign w:val="superscript"/>
        </w:rPr>
        <w:t xml:space="preserve"> </w:t>
      </w:r>
      <w:r w:rsidRPr="00B40477">
        <w:rPr>
          <w:rFonts w:ascii="Verdana" w:hAnsi="Verdana"/>
          <w:szCs w:val="22"/>
        </w:rPr>
        <w:t>compared with organisations without an FLS</w:t>
      </w:r>
      <w:r w:rsidRPr="00B40477">
        <w:rPr>
          <w:rStyle w:val="EndnoteReference"/>
          <w:rFonts w:ascii="Verdana" w:hAnsi="Verdana"/>
          <w:szCs w:val="22"/>
        </w:rPr>
        <w:endnoteReference w:id="3"/>
      </w:r>
      <w:r w:rsidRPr="00B40477">
        <w:rPr>
          <w:rFonts w:ascii="Verdana" w:hAnsi="Verdana"/>
          <w:szCs w:val="22"/>
        </w:rPr>
        <w:t>.</w:t>
      </w:r>
      <w:r w:rsidRPr="001B29A3">
        <w:rPr>
          <w:rFonts w:ascii="Verdana" w:hAnsi="Verdana" w:cs="Arial"/>
          <w:szCs w:val="22"/>
        </w:rPr>
        <w:t xml:space="preserve"> </w:t>
      </w:r>
      <w:r>
        <w:rPr>
          <w:rFonts w:ascii="Verdana" w:hAnsi="Verdana" w:cs="Arial"/>
          <w:szCs w:val="22"/>
        </w:rPr>
        <w:t xml:space="preserve">FLS is associated with </w:t>
      </w:r>
      <w:r w:rsidRPr="00B40477">
        <w:rPr>
          <w:rFonts w:ascii="Verdana" w:hAnsi="Verdana"/>
          <w:szCs w:val="22"/>
        </w:rPr>
        <w:t>reduced mortality</w:t>
      </w:r>
      <w:r>
        <w:rPr>
          <w:rFonts w:ascii="Verdana" w:hAnsi="Verdana"/>
          <w:szCs w:val="22"/>
        </w:rPr>
        <w:t xml:space="preserve"> </w:t>
      </w:r>
      <w:r w:rsidRPr="00B40477">
        <w:rPr>
          <w:rFonts w:ascii="Verdana" w:hAnsi="Verdana"/>
          <w:szCs w:val="22"/>
        </w:rPr>
        <w:t>and it is cost-effective</w:t>
      </w:r>
      <w:r w:rsidRPr="00B40477">
        <w:rPr>
          <w:rStyle w:val="EndnoteReference"/>
          <w:rFonts w:ascii="Verdana" w:hAnsi="Verdana"/>
          <w:szCs w:val="22"/>
        </w:rPr>
        <w:endnoteReference w:id="4"/>
      </w:r>
      <w:r w:rsidRPr="00B40477">
        <w:rPr>
          <w:rFonts w:ascii="Verdana" w:hAnsi="Verdana"/>
          <w:szCs w:val="22"/>
        </w:rPr>
        <w:t>.</w:t>
      </w:r>
      <w:r>
        <w:rPr>
          <w:rFonts w:ascii="Verdana" w:hAnsi="Verdana"/>
          <w:szCs w:val="22"/>
        </w:rPr>
        <w:t xml:space="preserve"> </w:t>
      </w:r>
      <w:r w:rsidRPr="00B40477">
        <w:rPr>
          <w:rFonts w:ascii="Verdana" w:hAnsi="Verdana" w:cs="Arial"/>
          <w:szCs w:val="22"/>
        </w:rPr>
        <w:t>In May 2011, a formal cost-effectiveness analysis of the Glasgow FLS was published, which showed that be</w:t>
      </w:r>
      <w:r w:rsidRPr="00B40477">
        <w:rPr>
          <w:rFonts w:ascii="Verdana" w:hAnsi="Verdana"/>
          <w:bCs/>
          <w:szCs w:val="22"/>
          <w:lang w:eastAsia="en-GB"/>
        </w:rPr>
        <w:t>tween 1998-2008 the Glasgow FLS saw hip fracture numbers in Glasgow reduced by 7.3% versus an almost 17% increase in England (1.8% per year)</w:t>
      </w:r>
      <w:r w:rsidRPr="00B40477">
        <w:rPr>
          <w:rStyle w:val="EndnoteReference"/>
          <w:rFonts w:ascii="Verdana" w:hAnsi="Verdana"/>
          <w:bCs/>
          <w:szCs w:val="22"/>
          <w:lang w:eastAsia="en-GB"/>
        </w:rPr>
        <w:endnoteReference w:id="5"/>
      </w:r>
      <w:r w:rsidRPr="00B40477">
        <w:rPr>
          <w:rFonts w:ascii="Verdana" w:hAnsi="Verdana" w:cs="Arial"/>
          <w:szCs w:val="22"/>
        </w:rPr>
        <w:t>.</w:t>
      </w:r>
      <w:r w:rsidRPr="001B29A3">
        <w:rPr>
          <w:rFonts w:ascii="Verdana" w:hAnsi="Verdana"/>
          <w:szCs w:val="22"/>
        </w:rPr>
        <w:t xml:space="preserve"> </w:t>
      </w:r>
      <w:r w:rsidRPr="00B40477">
        <w:rPr>
          <w:rFonts w:ascii="Verdana" w:hAnsi="Verdana"/>
          <w:szCs w:val="22"/>
        </w:rPr>
        <w:t>Effective secondary fracture prevention throughout the NHS would prevent over 46,000 avoidable fragility fractures (including nearly 20,000 hip fractures) over 5 years in the UK</w:t>
      </w:r>
      <w:r w:rsidRPr="00B40477">
        <w:rPr>
          <w:rStyle w:val="EndnoteReference"/>
          <w:rFonts w:ascii="Verdana" w:hAnsi="Verdana"/>
          <w:szCs w:val="22"/>
        </w:rPr>
        <w:endnoteReference w:id="6"/>
      </w:r>
      <w:r w:rsidRPr="00B40477">
        <w:rPr>
          <w:rFonts w:ascii="Verdana" w:hAnsi="Verdana"/>
          <w:szCs w:val="22"/>
        </w:rPr>
        <w:t xml:space="preserve">. </w:t>
      </w:r>
      <w:r>
        <w:rPr>
          <w:rFonts w:ascii="Verdana" w:hAnsi="Verdana"/>
          <w:szCs w:val="22"/>
        </w:rPr>
        <w:t>In Glasgow, i</w:t>
      </w:r>
      <w:r w:rsidRPr="00B40477">
        <w:rPr>
          <w:rFonts w:ascii="Verdana" w:hAnsi="Verdana" w:cs="Arial"/>
          <w:szCs w:val="22"/>
        </w:rPr>
        <w:t>t was concluded that £21,000 was saved per 1,000 patients that were managed though the service</w:t>
      </w:r>
      <w:r w:rsidRPr="00B40477">
        <w:rPr>
          <w:rStyle w:val="EndnoteReference"/>
          <w:rFonts w:ascii="Verdana" w:hAnsi="Verdana" w:cs="Arial"/>
          <w:szCs w:val="22"/>
        </w:rPr>
        <w:endnoteReference w:id="7"/>
      </w:r>
      <w:r w:rsidRPr="00B40477">
        <w:rPr>
          <w:rFonts w:ascii="Verdana" w:hAnsi="Verdana" w:cs="Arial"/>
          <w:szCs w:val="22"/>
        </w:rPr>
        <w:t xml:space="preserve">. </w:t>
      </w:r>
    </w:p>
    <w:p w14:paraId="74C41CA3" w14:textId="77777777" w:rsidR="00704E7B" w:rsidRDefault="00704E7B" w:rsidP="00704E7B">
      <w:pPr>
        <w:autoSpaceDE w:val="0"/>
        <w:autoSpaceDN w:val="0"/>
        <w:adjustRightInd w:val="0"/>
        <w:spacing w:after="120"/>
        <w:jc w:val="both"/>
        <w:rPr>
          <w:rFonts w:ascii="Verdana" w:hAnsi="Verdana" w:cs="Arial"/>
          <w:szCs w:val="22"/>
        </w:rPr>
      </w:pPr>
    </w:p>
    <w:p w14:paraId="228B815E" w14:textId="77777777" w:rsidR="00704E7B" w:rsidRPr="00573AB7" w:rsidRDefault="00704E7B" w:rsidP="00704E7B">
      <w:pPr>
        <w:autoSpaceDE w:val="0"/>
        <w:autoSpaceDN w:val="0"/>
        <w:adjustRightInd w:val="0"/>
        <w:spacing w:after="120"/>
        <w:jc w:val="both"/>
        <w:rPr>
          <w:rFonts w:ascii="Verdana" w:hAnsi="Verdana" w:cs="Arial"/>
          <w:szCs w:val="22"/>
        </w:rPr>
      </w:pPr>
    </w:p>
    <w:p w14:paraId="5CEEB934" w14:textId="77777777" w:rsidR="00704E7B" w:rsidRPr="006D09E0" w:rsidRDefault="00704E7B" w:rsidP="00704E7B">
      <w:pPr>
        <w:spacing w:after="120"/>
        <w:jc w:val="both"/>
        <w:rPr>
          <w:rFonts w:ascii="Verdana" w:hAnsi="Verdana"/>
        </w:rPr>
      </w:pPr>
      <w:r>
        <w:rPr>
          <w:rFonts w:ascii="Verdana" w:hAnsi="Verdana" w:cs="Arial"/>
          <w:b/>
          <w:color w:val="000000"/>
          <w:lang w:eastAsia="en-GB"/>
        </w:rPr>
        <w:lastRenderedPageBreak/>
        <w:t>Why commission an</w:t>
      </w:r>
      <w:r w:rsidRPr="006D09E0">
        <w:rPr>
          <w:rFonts w:ascii="Verdana" w:hAnsi="Verdana" w:cs="Arial"/>
          <w:b/>
          <w:color w:val="000000"/>
          <w:lang w:eastAsia="en-GB"/>
        </w:rPr>
        <w:t xml:space="preserve"> FLS at</w:t>
      </w:r>
      <w:r w:rsidRPr="006D09E0">
        <w:rPr>
          <w:rFonts w:ascii="Verdana" w:hAnsi="Verdana" w:cs="Arial"/>
          <w:szCs w:val="22"/>
        </w:rPr>
        <w:t xml:space="preserve"> </w:t>
      </w:r>
      <w:r w:rsidRPr="006D09E0">
        <w:rPr>
          <w:rFonts w:ascii="Verdana" w:hAnsi="Verdana" w:cs="Arial"/>
          <w:b/>
          <w:szCs w:val="22"/>
        </w:rPr>
        <w:t>[insert name of the organisation]</w:t>
      </w:r>
      <w:r w:rsidRPr="005278E7">
        <w:rPr>
          <w:rFonts w:ascii="Verdana" w:hAnsi="Verdana" w:cs="Arial"/>
          <w:b/>
          <w:szCs w:val="22"/>
        </w:rPr>
        <w:t>?</w:t>
      </w:r>
      <w:r w:rsidRPr="006D09E0">
        <w:rPr>
          <w:rFonts w:ascii="Verdana" w:hAnsi="Verdana"/>
        </w:rPr>
        <w:t xml:space="preserve"> </w:t>
      </w:r>
    </w:p>
    <w:p w14:paraId="4D43F9B9" w14:textId="6E472655" w:rsidR="00704E7B" w:rsidRPr="00D0349E" w:rsidRDefault="00704E7B" w:rsidP="00704E7B">
      <w:pPr>
        <w:pStyle w:val="Default"/>
        <w:spacing w:after="120"/>
        <w:jc w:val="both"/>
        <w:rPr>
          <w:rFonts w:ascii="Verdana" w:hAnsi="Verdana"/>
          <w:sz w:val="22"/>
          <w:szCs w:val="22"/>
        </w:rPr>
      </w:pPr>
      <w:r w:rsidRPr="006D09E0">
        <w:rPr>
          <w:rFonts w:ascii="Verdana" w:hAnsi="Verdana"/>
          <w:sz w:val="22"/>
        </w:rPr>
        <w:t>Modelling</w:t>
      </w:r>
      <w:r>
        <w:rPr>
          <w:rFonts w:ascii="Verdana" w:hAnsi="Verdana"/>
          <w:sz w:val="22"/>
        </w:rPr>
        <w:t>,</w:t>
      </w:r>
      <w:r w:rsidRPr="006D09E0">
        <w:rPr>
          <w:rFonts w:ascii="Verdana" w:hAnsi="Verdana"/>
          <w:sz w:val="22"/>
        </w:rPr>
        <w:t xml:space="preserve"> using estimates of benefits provided by the </w:t>
      </w:r>
      <w:r>
        <w:rPr>
          <w:rFonts w:ascii="Verdana" w:hAnsi="Verdana"/>
          <w:sz w:val="22"/>
        </w:rPr>
        <w:t>Roy</w:t>
      </w:r>
      <w:r w:rsidRPr="006D09E0">
        <w:rPr>
          <w:rFonts w:ascii="Verdana" w:hAnsi="Verdana"/>
          <w:sz w:val="22"/>
        </w:rPr>
        <w:t>al Osteoporosis Society (</w:t>
      </w:r>
      <w:r>
        <w:rPr>
          <w:rFonts w:ascii="Verdana" w:hAnsi="Verdana"/>
          <w:sz w:val="22"/>
        </w:rPr>
        <w:t>R</w:t>
      </w:r>
      <w:r w:rsidRPr="006D09E0">
        <w:rPr>
          <w:rFonts w:ascii="Verdana" w:hAnsi="Verdana"/>
          <w:sz w:val="22"/>
        </w:rPr>
        <w:t>OS)</w:t>
      </w:r>
      <w:r>
        <w:rPr>
          <w:rFonts w:ascii="Verdana" w:hAnsi="Verdana"/>
          <w:sz w:val="22"/>
        </w:rPr>
        <w:t>, indicate that implementing an FLS</w:t>
      </w:r>
      <w:r w:rsidRPr="006D09E0">
        <w:rPr>
          <w:rFonts w:ascii="Verdana" w:hAnsi="Verdana"/>
          <w:sz w:val="22"/>
        </w:rPr>
        <w:t xml:space="preserve"> for </w:t>
      </w:r>
      <w:r w:rsidRPr="006D09E0">
        <w:rPr>
          <w:rFonts w:ascii="Verdana" w:hAnsi="Verdana"/>
          <w:b/>
          <w:sz w:val="22"/>
        </w:rPr>
        <w:t xml:space="preserve">[insert organisation name] </w:t>
      </w:r>
      <w:r w:rsidRPr="006D09E0">
        <w:rPr>
          <w:rFonts w:ascii="Verdana" w:hAnsi="Verdana"/>
          <w:sz w:val="22"/>
        </w:rPr>
        <w:t xml:space="preserve">will prevent approximately </w:t>
      </w:r>
      <w:r w:rsidRPr="006D09E0">
        <w:rPr>
          <w:rFonts w:ascii="Verdana" w:hAnsi="Verdana"/>
          <w:b/>
          <w:sz w:val="22"/>
        </w:rPr>
        <w:t>[insert number of fractures prevented over 5 years</w:t>
      </w:r>
      <w:r w:rsidR="00784658">
        <w:rPr>
          <w:rFonts w:ascii="Verdana" w:hAnsi="Verdana"/>
          <w:b/>
          <w:sz w:val="22"/>
        </w:rPr>
        <w:t xml:space="preserve">, </w:t>
      </w:r>
      <w:r w:rsidR="00341ED6">
        <w:rPr>
          <w:rFonts w:ascii="Verdana" w:hAnsi="Verdana"/>
          <w:b/>
          <w:sz w:val="22"/>
        </w:rPr>
        <w:t xml:space="preserve">contact the ROS </w:t>
      </w:r>
      <w:r w:rsidR="000F10C4">
        <w:rPr>
          <w:rFonts w:ascii="Verdana" w:hAnsi="Verdana"/>
          <w:b/>
          <w:sz w:val="22"/>
        </w:rPr>
        <w:t xml:space="preserve">if you need </w:t>
      </w:r>
      <w:r w:rsidR="00341ED6">
        <w:rPr>
          <w:rFonts w:ascii="Verdana" w:hAnsi="Verdana"/>
          <w:b/>
          <w:sz w:val="22"/>
        </w:rPr>
        <w:t xml:space="preserve">help </w:t>
      </w:r>
      <w:r w:rsidR="000F10C4">
        <w:rPr>
          <w:rFonts w:ascii="Verdana" w:hAnsi="Verdana"/>
          <w:b/>
          <w:sz w:val="22"/>
        </w:rPr>
        <w:t xml:space="preserve">getting </w:t>
      </w:r>
      <w:r w:rsidR="00341ED6">
        <w:rPr>
          <w:rFonts w:ascii="Verdana" w:hAnsi="Verdana"/>
          <w:b/>
          <w:sz w:val="22"/>
        </w:rPr>
        <w:t>this figure</w:t>
      </w:r>
      <w:r w:rsidRPr="006D09E0">
        <w:rPr>
          <w:rFonts w:ascii="Verdana" w:hAnsi="Verdana"/>
          <w:b/>
          <w:sz w:val="22"/>
        </w:rPr>
        <w:t xml:space="preserve">] </w:t>
      </w:r>
      <w:bookmarkStart w:id="1" w:name="_Hlk535584865"/>
      <w:r w:rsidRPr="006D09E0">
        <w:rPr>
          <w:rFonts w:ascii="Verdana" w:hAnsi="Verdana"/>
          <w:sz w:val="22"/>
        </w:rPr>
        <w:t>fractures over 5 years</w:t>
      </w:r>
      <w:r>
        <w:rPr>
          <w:rStyle w:val="EndnoteReference"/>
          <w:rFonts w:ascii="Verdana" w:hAnsi="Verdana"/>
          <w:sz w:val="22"/>
        </w:rPr>
        <w:endnoteReference w:id="8"/>
      </w:r>
      <w:bookmarkEnd w:id="1"/>
      <w:r w:rsidRPr="006D09E0">
        <w:rPr>
          <w:rFonts w:ascii="Verdana" w:hAnsi="Verdana"/>
          <w:sz w:val="22"/>
        </w:rPr>
        <w:t xml:space="preserve">. </w:t>
      </w:r>
      <w:r w:rsidRPr="00337C96">
        <w:rPr>
          <w:rFonts w:ascii="Verdana" w:hAnsi="Verdana"/>
          <w:sz w:val="22"/>
          <w:szCs w:val="22"/>
        </w:rPr>
        <w:t>An FLS will deliver financial benefits through the prevention of future fractures leading to a reduction in non-elective admissions.</w:t>
      </w:r>
      <w:r>
        <w:rPr>
          <w:rFonts w:ascii="Verdana" w:hAnsi="Verdana"/>
          <w:sz w:val="22"/>
          <w:szCs w:val="22"/>
        </w:rPr>
        <w:t xml:space="preserve"> </w:t>
      </w:r>
      <w:r w:rsidRPr="00337C96">
        <w:rPr>
          <w:rFonts w:ascii="Verdana" w:hAnsi="Verdana"/>
          <w:sz w:val="22"/>
          <w:szCs w:val="22"/>
        </w:rPr>
        <w:t xml:space="preserve">The current average </w:t>
      </w:r>
      <w:r w:rsidRPr="00337C96">
        <w:rPr>
          <w:rFonts w:ascii="Verdana" w:hAnsi="Verdana"/>
          <w:sz w:val="22"/>
          <w:szCs w:val="22"/>
          <w:u w:val="single"/>
        </w:rPr>
        <w:t>acute</w:t>
      </w:r>
      <w:r w:rsidRPr="00337C96">
        <w:rPr>
          <w:rFonts w:ascii="Verdana" w:hAnsi="Verdana"/>
          <w:sz w:val="22"/>
          <w:szCs w:val="22"/>
        </w:rPr>
        <w:t xml:space="preserve"> length of stay following a hip fracture at </w:t>
      </w:r>
      <w:r w:rsidRPr="00337C96">
        <w:rPr>
          <w:rFonts w:ascii="Verdana" w:hAnsi="Verdana"/>
          <w:b/>
          <w:sz w:val="22"/>
          <w:szCs w:val="22"/>
        </w:rPr>
        <w:t xml:space="preserve">[insert organisation name] </w:t>
      </w:r>
      <w:r w:rsidRPr="00337C96">
        <w:rPr>
          <w:rFonts w:ascii="Verdana" w:hAnsi="Verdana"/>
          <w:sz w:val="22"/>
          <w:szCs w:val="22"/>
        </w:rPr>
        <w:t>is</w:t>
      </w:r>
      <w:r w:rsidRPr="00337C96">
        <w:rPr>
          <w:rFonts w:ascii="Verdana" w:hAnsi="Verdana"/>
          <w:b/>
          <w:sz w:val="22"/>
          <w:szCs w:val="22"/>
        </w:rPr>
        <w:t xml:space="preserve"> [insert current average acute LOS for hip fracture]</w:t>
      </w:r>
      <w:r w:rsidRPr="00337C96">
        <w:rPr>
          <w:rFonts w:ascii="Verdana" w:hAnsi="Verdana"/>
          <w:sz w:val="22"/>
          <w:szCs w:val="22"/>
        </w:rPr>
        <w:t xml:space="preserve">.  It has been estimated that over 5 years an FLS in this area could prevent </w:t>
      </w:r>
      <w:r w:rsidRPr="00337C96">
        <w:rPr>
          <w:rFonts w:ascii="Verdana" w:hAnsi="Verdana"/>
          <w:b/>
          <w:sz w:val="22"/>
          <w:szCs w:val="22"/>
        </w:rPr>
        <w:t>[insert number of preventable hip fractures</w:t>
      </w:r>
      <w:r w:rsidR="0026030B">
        <w:rPr>
          <w:rFonts w:ascii="Verdana" w:hAnsi="Verdana"/>
          <w:b/>
          <w:sz w:val="22"/>
          <w:szCs w:val="22"/>
        </w:rPr>
        <w:t xml:space="preserve">, </w:t>
      </w:r>
      <w:r w:rsidR="0026030B">
        <w:rPr>
          <w:rFonts w:ascii="Verdana" w:hAnsi="Verdana"/>
          <w:b/>
          <w:sz w:val="22"/>
        </w:rPr>
        <w:t>contact the ROS if you need help getting this figure</w:t>
      </w:r>
      <w:r w:rsidRPr="00337C96">
        <w:rPr>
          <w:rFonts w:ascii="Verdana" w:hAnsi="Verdana"/>
          <w:b/>
          <w:sz w:val="22"/>
          <w:szCs w:val="22"/>
        </w:rPr>
        <w:t>]</w:t>
      </w:r>
      <w:r w:rsidRPr="00337C96">
        <w:rPr>
          <w:rFonts w:ascii="Verdana" w:hAnsi="Verdana"/>
          <w:sz w:val="22"/>
          <w:szCs w:val="22"/>
        </w:rPr>
        <w:t xml:space="preserve">, which equates to </w:t>
      </w:r>
      <w:r w:rsidRPr="00337C96">
        <w:rPr>
          <w:rFonts w:ascii="Verdana" w:hAnsi="Verdana"/>
          <w:b/>
          <w:sz w:val="22"/>
          <w:szCs w:val="22"/>
        </w:rPr>
        <w:t>[number of hip fractures prevented x average LOS for hip fracture]</w:t>
      </w:r>
      <w:r w:rsidRPr="00337C96">
        <w:rPr>
          <w:rFonts w:ascii="Verdana" w:hAnsi="Verdana"/>
          <w:sz w:val="22"/>
          <w:szCs w:val="22"/>
        </w:rPr>
        <w:t xml:space="preserve"> </w:t>
      </w:r>
      <w:r w:rsidRPr="00337C96">
        <w:rPr>
          <w:rFonts w:ascii="Verdana" w:hAnsi="Verdana"/>
          <w:sz w:val="22"/>
          <w:szCs w:val="22"/>
          <w:u w:val="single"/>
        </w:rPr>
        <w:t>acute</w:t>
      </w:r>
      <w:r w:rsidRPr="00337C96">
        <w:rPr>
          <w:rFonts w:ascii="Verdana" w:hAnsi="Verdana"/>
          <w:sz w:val="22"/>
          <w:szCs w:val="22"/>
        </w:rPr>
        <w:t xml:space="preserve"> bed days. </w:t>
      </w:r>
    </w:p>
    <w:p w14:paraId="43D01562" w14:textId="77777777" w:rsidR="00704E7B" w:rsidRDefault="00704E7B" w:rsidP="00704E7B">
      <w:pPr>
        <w:pStyle w:val="Heading2"/>
        <w:numPr>
          <w:ilvl w:val="0"/>
          <w:numId w:val="1"/>
        </w:numPr>
        <w:ind w:left="0" w:hanging="426"/>
        <w:jc w:val="both"/>
        <w:rPr>
          <w:rFonts w:ascii="Verdana" w:hAnsi="Verdana"/>
          <w:sz w:val="28"/>
          <w:szCs w:val="28"/>
        </w:rPr>
      </w:pPr>
      <w:r w:rsidRPr="006D09E0">
        <w:rPr>
          <w:rFonts w:ascii="Verdana" w:hAnsi="Verdana"/>
          <w:sz w:val="28"/>
          <w:szCs w:val="28"/>
        </w:rPr>
        <w:t xml:space="preserve">Rationale for change </w:t>
      </w:r>
    </w:p>
    <w:p w14:paraId="20D12F03" w14:textId="77777777" w:rsidR="00704E7B" w:rsidRPr="00326FA6" w:rsidRDefault="00704E7B" w:rsidP="00704E7B">
      <w:pPr>
        <w:spacing w:after="120"/>
        <w:jc w:val="both"/>
        <w:rPr>
          <w:rFonts w:ascii="Verdana" w:hAnsi="Verdana"/>
        </w:rPr>
      </w:pPr>
      <w:r w:rsidRPr="00326FA6">
        <w:rPr>
          <w:rFonts w:ascii="Verdana" w:hAnsi="Verdana"/>
        </w:rPr>
        <w:t>Fragility fractures are broken bones that result from mechanical forces that would not ordinarily cause a fracture, known as low-level (or 'low energy') trauma</w:t>
      </w:r>
      <w:r w:rsidRPr="00560961">
        <w:rPr>
          <w:rStyle w:val="EndnoteReference"/>
          <w:rFonts w:ascii="Verdana" w:hAnsi="Verdana"/>
          <w:szCs w:val="22"/>
        </w:rPr>
        <w:endnoteReference w:id="9"/>
      </w:r>
      <w:r w:rsidRPr="00326FA6">
        <w:rPr>
          <w:rFonts w:ascii="Verdana" w:hAnsi="Verdana"/>
        </w:rPr>
        <w:t>. The World Health Organisation has quantified this as a force equivalent to a fall from a standing height or less</w:t>
      </w:r>
      <w:r w:rsidRPr="00560961">
        <w:rPr>
          <w:rStyle w:val="EndnoteReference"/>
          <w:rFonts w:ascii="Verdana" w:hAnsi="Verdana" w:cs="Arial"/>
          <w:szCs w:val="22"/>
        </w:rPr>
        <w:endnoteReference w:id="10"/>
      </w:r>
      <w:r w:rsidRPr="00326FA6">
        <w:rPr>
          <w:rFonts w:ascii="Verdana" w:hAnsi="Verdana"/>
        </w:rPr>
        <w:t xml:space="preserve">.  Reduced bone density is a major risk factor for fragility fracture.  Other factors that may affect the risk of fragility fracture include the use of oral or systemic glucocorticoids, age, sex, previous </w:t>
      </w:r>
      <w:proofErr w:type="gramStart"/>
      <w:r w:rsidRPr="00326FA6">
        <w:rPr>
          <w:rFonts w:ascii="Verdana" w:hAnsi="Verdana"/>
        </w:rPr>
        <w:t>fractures</w:t>
      </w:r>
      <w:proofErr w:type="gramEnd"/>
      <w:r w:rsidRPr="00326FA6">
        <w:rPr>
          <w:rFonts w:ascii="Verdana" w:hAnsi="Verdana"/>
        </w:rPr>
        <w:t xml:space="preserve"> and family history of osteoporosis</w:t>
      </w:r>
      <w:r w:rsidRPr="00560961">
        <w:rPr>
          <w:rStyle w:val="EndnoteReference"/>
          <w:rFonts w:ascii="Verdana" w:hAnsi="Verdana" w:cs="Arial"/>
          <w:szCs w:val="22"/>
        </w:rPr>
        <w:endnoteReference w:id="11"/>
      </w:r>
      <w:r w:rsidRPr="00326FA6">
        <w:rPr>
          <w:rFonts w:ascii="Verdana" w:hAnsi="Verdana"/>
        </w:rPr>
        <w:t xml:space="preserve">. </w:t>
      </w:r>
    </w:p>
    <w:p w14:paraId="14055AD6" w14:textId="77777777" w:rsidR="00704E7B" w:rsidRPr="00326FA6" w:rsidRDefault="00704E7B" w:rsidP="00704E7B">
      <w:pPr>
        <w:spacing w:after="120"/>
        <w:jc w:val="both"/>
        <w:rPr>
          <w:rFonts w:ascii="Verdana" w:hAnsi="Verdana"/>
        </w:rPr>
      </w:pPr>
      <w:r w:rsidRPr="00326FA6">
        <w:rPr>
          <w:rFonts w:ascii="Verdana" w:hAnsi="Verdana"/>
        </w:rPr>
        <w:t xml:space="preserve">At age 50, the lifetime risk of </w:t>
      </w:r>
      <w:r w:rsidRPr="00326FA6">
        <w:rPr>
          <w:rFonts w:ascii="Verdana" w:hAnsi="Verdana" w:cs="Helvetica"/>
          <w:shd w:val="clear" w:color="auto" w:fill="FFFFFF"/>
        </w:rPr>
        <w:t>fracture is greater than 50% for women and 20% for men</w:t>
      </w:r>
      <w:r>
        <w:rPr>
          <w:rStyle w:val="EndnoteReference"/>
          <w:rFonts w:ascii="Verdana" w:hAnsi="Verdana" w:cs="Helvetica"/>
          <w:szCs w:val="22"/>
          <w:shd w:val="clear" w:color="auto" w:fill="FFFFFF"/>
        </w:rPr>
        <w:endnoteReference w:id="12"/>
      </w:r>
      <w:r w:rsidRPr="00326FA6">
        <w:rPr>
          <w:rFonts w:ascii="Verdana" w:hAnsi="Verdana" w:cs="Helvetica"/>
          <w:shd w:val="clear" w:color="auto" w:fill="FFFFFF"/>
          <w:vertAlign w:val="superscript"/>
        </w:rPr>
        <w:t xml:space="preserve"> </w:t>
      </w:r>
      <w:r w:rsidRPr="00326FA6">
        <w:rPr>
          <w:rFonts w:ascii="Verdana" w:hAnsi="Verdana" w:cs="Helvetica"/>
          <w:shd w:val="clear" w:color="auto" w:fill="FFFFFF"/>
        </w:rPr>
        <w:t xml:space="preserve">and many of these will be fragility fractures.  </w:t>
      </w:r>
      <w:r w:rsidRPr="00326FA6">
        <w:rPr>
          <w:rFonts w:ascii="Verdana" w:hAnsi="Verdana"/>
        </w:rPr>
        <w:t>After a fragility fracture, patients are five times more likely to experience a second fracture within the next 2 years</w:t>
      </w:r>
      <w:r>
        <w:rPr>
          <w:rStyle w:val="EndnoteReference"/>
          <w:rFonts w:ascii="Verdana" w:hAnsi="Verdana" w:cs="Arial"/>
          <w:szCs w:val="22"/>
        </w:rPr>
        <w:endnoteReference w:id="13"/>
      </w:r>
      <w:r w:rsidRPr="00326FA6">
        <w:rPr>
          <w:rFonts w:ascii="Verdana" w:hAnsi="Verdana"/>
        </w:rPr>
        <w:t xml:space="preserve">. Half of all hip fractures are secondary fractures </w:t>
      </w:r>
      <w:proofErr w:type="gramStart"/>
      <w:r w:rsidRPr="00326FA6">
        <w:rPr>
          <w:rFonts w:ascii="Verdana" w:hAnsi="Verdana"/>
        </w:rPr>
        <w:t>i.e.</w:t>
      </w:r>
      <w:proofErr w:type="gramEnd"/>
      <w:r w:rsidRPr="00326FA6">
        <w:rPr>
          <w:rFonts w:ascii="Verdana" w:hAnsi="Verdana"/>
        </w:rPr>
        <w:t xml:space="preserve"> a fracture following a previous fracture</w:t>
      </w:r>
      <w:r w:rsidRPr="00AF611B">
        <w:rPr>
          <w:rStyle w:val="EndnoteReference"/>
          <w:rFonts w:ascii="Verdana" w:hAnsi="Verdana"/>
          <w:szCs w:val="22"/>
        </w:rPr>
        <w:endnoteReference w:id="14"/>
      </w:r>
      <w:r w:rsidRPr="00326FA6">
        <w:rPr>
          <w:rFonts w:ascii="Verdana" w:hAnsi="Verdana"/>
          <w:vertAlign w:val="superscript"/>
        </w:rPr>
        <w:t>,</w:t>
      </w:r>
      <w:r w:rsidRPr="00AF611B">
        <w:rPr>
          <w:rStyle w:val="EndnoteReference"/>
          <w:rFonts w:ascii="Verdana" w:hAnsi="Verdana"/>
          <w:szCs w:val="22"/>
        </w:rPr>
        <w:endnoteReference w:id="15"/>
      </w:r>
      <w:r w:rsidRPr="00326FA6">
        <w:rPr>
          <w:rFonts w:ascii="Verdana" w:hAnsi="Verdana"/>
          <w:vertAlign w:val="superscript"/>
        </w:rPr>
        <w:t>,</w:t>
      </w:r>
      <w:r w:rsidRPr="00AF611B">
        <w:rPr>
          <w:rStyle w:val="EndnoteReference"/>
          <w:rFonts w:ascii="Verdana" w:hAnsi="Verdana"/>
          <w:szCs w:val="22"/>
        </w:rPr>
        <w:endnoteReference w:id="16"/>
      </w:r>
      <w:r w:rsidRPr="00326FA6">
        <w:rPr>
          <w:rFonts w:ascii="Verdana" w:hAnsi="Verdana"/>
        </w:rPr>
        <w:t>. Approximately half the number of hip fractures can be prevented if the patient is identified and treated following an initial non-hip fracture</w:t>
      </w:r>
      <w:r w:rsidRPr="00560961">
        <w:rPr>
          <w:vertAlign w:val="superscript"/>
        </w:rPr>
        <w:endnoteReference w:id="17"/>
      </w:r>
      <w:r w:rsidRPr="00326FA6">
        <w:rPr>
          <w:rFonts w:ascii="Verdana" w:hAnsi="Verdana"/>
        </w:rPr>
        <w:t xml:space="preserve">. </w:t>
      </w:r>
    </w:p>
    <w:p w14:paraId="2C7A87EE" w14:textId="14089416" w:rsidR="00704E7B" w:rsidRPr="00326FA6" w:rsidRDefault="00704E7B" w:rsidP="00704E7B">
      <w:pPr>
        <w:spacing w:after="120"/>
        <w:jc w:val="both"/>
        <w:rPr>
          <w:rFonts w:ascii="Verdana" w:hAnsi="Verdana" w:cs="Arial"/>
        </w:rPr>
      </w:pPr>
      <w:r w:rsidRPr="00326FA6">
        <w:rPr>
          <w:rFonts w:ascii="Verdana" w:hAnsi="Verdana"/>
        </w:rPr>
        <w:t>Fragility fractures are the clinical manifestation of osteoporosis</w:t>
      </w:r>
      <w:r>
        <w:rPr>
          <w:rStyle w:val="EndnoteReference"/>
          <w:rFonts w:ascii="Verdana" w:hAnsi="Verdana"/>
          <w:sz w:val="20"/>
        </w:rPr>
        <w:endnoteReference w:id="18"/>
      </w:r>
      <w:r w:rsidRPr="00326FA6">
        <w:rPr>
          <w:rFonts w:ascii="Verdana" w:hAnsi="Verdana"/>
          <w:sz w:val="20"/>
        </w:rPr>
        <w:t xml:space="preserve">.  </w:t>
      </w:r>
      <w:r w:rsidRPr="00326FA6">
        <w:rPr>
          <w:rFonts w:ascii="Verdana" w:hAnsi="Verdana"/>
        </w:rPr>
        <w:t>Osteoporosis is a condition characterised by low bone mass and micro-architectural deterioration of bone tissue with a consequent increase in bone fragility and susceptibility to fracture</w:t>
      </w:r>
      <w:r>
        <w:rPr>
          <w:rStyle w:val="EndnoteReference"/>
          <w:rFonts w:ascii="Verdana" w:eastAsia="Verdana" w:hAnsi="Verdana" w:cs="Verdana"/>
          <w:kern w:val="24"/>
          <w:sz w:val="20"/>
        </w:rPr>
        <w:endnoteReference w:id="19"/>
      </w:r>
      <w:r w:rsidRPr="00326FA6">
        <w:rPr>
          <w:rFonts w:ascii="Verdana" w:hAnsi="Verdana"/>
          <w:sz w:val="20"/>
        </w:rPr>
        <w:t xml:space="preserve">.  </w:t>
      </w:r>
      <w:r w:rsidRPr="00326FA6">
        <w:rPr>
          <w:rFonts w:ascii="Verdana" w:hAnsi="Verdana"/>
        </w:rPr>
        <w:t>In 2015, 3.5million people in the UK were estimated to have osteoporosis</w:t>
      </w:r>
      <w:r>
        <w:rPr>
          <w:rStyle w:val="EndnoteReference"/>
          <w:rFonts w:ascii="Verdana" w:hAnsi="Verdana"/>
          <w:sz w:val="20"/>
        </w:rPr>
        <w:endnoteReference w:id="20"/>
      </w:r>
      <w:r w:rsidRPr="00326FA6">
        <w:rPr>
          <w:rFonts w:ascii="Verdana" w:hAnsi="Verdana"/>
          <w:sz w:val="20"/>
        </w:rPr>
        <w:t xml:space="preserve">. </w:t>
      </w:r>
      <w:r w:rsidR="00F9369B" w:rsidRPr="00A65220">
        <w:rPr>
          <w:rFonts w:ascii="Verdana" w:hAnsi="Verdana"/>
          <w:szCs w:val="22"/>
        </w:rPr>
        <w:t>Osteoporosis is a multifactorial condition, but prevalence increases sharply with age</w:t>
      </w:r>
      <w:r w:rsidR="00F9369B">
        <w:rPr>
          <w:rFonts w:ascii="Verdana" w:hAnsi="Verdana"/>
          <w:szCs w:val="22"/>
        </w:rPr>
        <w:t xml:space="preserve">. In women the prevalence of osteoporosis increases from </w:t>
      </w:r>
      <w:r w:rsidR="00F9369B" w:rsidRPr="00A65220">
        <w:rPr>
          <w:rFonts w:ascii="Verdana" w:hAnsi="Verdana"/>
          <w:szCs w:val="22"/>
        </w:rPr>
        <w:t>approximately 2% at age 50 to more than 25% at age 80</w:t>
      </w:r>
      <w:r w:rsidR="00F9369B">
        <w:rPr>
          <w:rStyle w:val="EndnoteReference"/>
          <w:rFonts w:ascii="Verdana" w:hAnsi="Verdana"/>
          <w:szCs w:val="22"/>
        </w:rPr>
        <w:endnoteReference w:id="21"/>
      </w:r>
      <w:r w:rsidR="00F9369B" w:rsidRPr="00A65220">
        <w:rPr>
          <w:rFonts w:ascii="Verdana" w:hAnsi="Verdana"/>
          <w:sz w:val="20"/>
        </w:rPr>
        <w:t>.</w:t>
      </w:r>
      <w:r w:rsidR="00F9369B" w:rsidRPr="0066412A">
        <w:rPr>
          <w:rFonts w:ascii="Verdana" w:hAnsi="Verdana"/>
          <w:sz w:val="20"/>
        </w:rPr>
        <w:t xml:space="preserve"> </w:t>
      </w:r>
      <w:r w:rsidRPr="00326FA6">
        <w:rPr>
          <w:rFonts w:ascii="Verdana" w:hAnsi="Verdana"/>
        </w:rPr>
        <w:t>Over 70% of UK population growth between 2014 and 2039 will be in the over 60 age group, an increase from 14.9 to 21.9 million people</w:t>
      </w:r>
      <w:r w:rsidRPr="000B3C76">
        <w:rPr>
          <w:rStyle w:val="EndnoteReference"/>
          <w:rFonts w:ascii="Verdana" w:hAnsi="Verdana"/>
          <w:szCs w:val="22"/>
        </w:rPr>
        <w:endnoteReference w:id="22"/>
      </w:r>
      <w:r w:rsidRPr="00326FA6">
        <w:rPr>
          <w:rFonts w:ascii="Verdana" w:hAnsi="Verdana"/>
        </w:rPr>
        <w:t>. In 2017, over half a million fragility fractures occurred in the UK with an associated healthcare cost of £4.5billion. This annual expenditure is predicted to increase by 30%, to £5.9billion, by 2030</w:t>
      </w:r>
      <w:r w:rsidRPr="00AE6327">
        <w:rPr>
          <w:rStyle w:val="EndnoteReference"/>
          <w:rFonts w:cs="Calibri"/>
          <w:szCs w:val="22"/>
        </w:rPr>
        <w:endnoteReference w:id="23"/>
      </w:r>
      <w:r w:rsidRPr="00326FA6">
        <w:rPr>
          <w:rFonts w:cs="Calibri"/>
        </w:rPr>
        <w:t>.</w:t>
      </w:r>
    </w:p>
    <w:p w14:paraId="73BD742C" w14:textId="77777777" w:rsidR="00704E7B" w:rsidRPr="00326FA6" w:rsidRDefault="00704E7B" w:rsidP="00704E7B">
      <w:pPr>
        <w:spacing w:after="120"/>
        <w:jc w:val="both"/>
        <w:rPr>
          <w:rFonts w:ascii="Verdana" w:hAnsi="Verdana" w:cs="Arial"/>
        </w:rPr>
      </w:pPr>
      <w:r w:rsidRPr="00326FA6">
        <w:rPr>
          <w:rFonts w:ascii="Verdana" w:eastAsia="OpenSans-Light" w:hAnsi="Verdana" w:cs="OpenSans-Semibold"/>
        </w:rPr>
        <w:t>Unplanned admissions and length of stay are important drivers of cost,</w:t>
      </w:r>
      <w:r w:rsidRPr="00326FA6">
        <w:rPr>
          <w:rFonts w:ascii="Verdana" w:hAnsi="Verdana"/>
        </w:rPr>
        <w:t xml:space="preserve"> with emergency admissions due to fragility fractures taking up more acute bed-days than myocardial infarction, heart failure and stroke combined</w:t>
      </w:r>
      <w:r w:rsidRPr="00DE6A38">
        <w:rPr>
          <w:rStyle w:val="EndnoteReference"/>
          <w:rFonts w:ascii="Verdana" w:hAnsi="Verdana"/>
          <w:szCs w:val="22"/>
        </w:rPr>
        <w:endnoteReference w:id="24"/>
      </w:r>
      <w:r w:rsidRPr="00326FA6">
        <w:rPr>
          <w:rFonts w:ascii="Verdana" w:hAnsi="Verdana"/>
        </w:rPr>
        <w:t xml:space="preserve">. </w:t>
      </w:r>
      <w:r w:rsidRPr="00326FA6">
        <w:rPr>
          <w:rFonts w:ascii="Verdana" w:eastAsia="OpenSans-Light" w:hAnsi="Verdana" w:cs="OpenSans-Semibold"/>
        </w:rPr>
        <w:t>Hip fractures make up one fifth of all fragility fractures, yet they account for 58% of total fracture related costs</w:t>
      </w:r>
      <w:r w:rsidRPr="00F10B6D">
        <w:rPr>
          <w:rStyle w:val="EndnoteReference"/>
          <w:rFonts w:ascii="Verdana" w:eastAsia="OpenSans-Light" w:hAnsi="Verdana" w:cs="OpenSans-Semibold"/>
          <w:szCs w:val="22"/>
        </w:rPr>
        <w:endnoteReference w:id="25"/>
      </w:r>
      <w:r w:rsidRPr="00326FA6">
        <w:rPr>
          <w:rFonts w:ascii="Verdana" w:eastAsia="OpenSans-Light" w:hAnsi="Verdana" w:cs="OpenSans-Semibold"/>
        </w:rPr>
        <w:t xml:space="preserve">. </w:t>
      </w:r>
      <w:r w:rsidRPr="00326FA6">
        <w:rPr>
          <w:rFonts w:ascii="Verdana" w:hAnsi="Verdana" w:cs="Arial"/>
        </w:rPr>
        <w:t>Each year, hip fractures cost the UK healthcare system approximately £1.1billion/year</w:t>
      </w:r>
      <w:r w:rsidRPr="00F10B6D">
        <w:rPr>
          <w:rStyle w:val="EndnoteReference"/>
          <w:rFonts w:ascii="Verdana" w:hAnsi="Verdana" w:cs="Arial"/>
          <w:szCs w:val="22"/>
        </w:rPr>
        <w:endnoteReference w:id="26"/>
      </w:r>
      <w:r w:rsidRPr="00326FA6">
        <w:rPr>
          <w:rFonts w:ascii="Verdana" w:hAnsi="Verdana" w:cs="Arial"/>
        </w:rPr>
        <w:t>. At any one time, patients recovering from hip fracture occupy 1 in 45 beds in England and Northern Ireland, and 1 in 33 beds in Wales</w:t>
      </w:r>
      <w:r w:rsidRPr="00F10B6D">
        <w:rPr>
          <w:rStyle w:val="EndnoteReference"/>
          <w:rFonts w:ascii="Verdana" w:hAnsi="Verdana" w:cs="Arial"/>
          <w:szCs w:val="22"/>
        </w:rPr>
        <w:endnoteReference w:id="27"/>
      </w:r>
      <w:r w:rsidRPr="00326FA6">
        <w:rPr>
          <w:rFonts w:ascii="Verdana" w:hAnsi="Verdana" w:cs="Arial"/>
        </w:rPr>
        <w:t xml:space="preserve">. </w:t>
      </w:r>
    </w:p>
    <w:p w14:paraId="461EBD76" w14:textId="77777777" w:rsidR="00704E7B" w:rsidRDefault="00704E7B" w:rsidP="00704E7B">
      <w:pPr>
        <w:pStyle w:val="Sub-heading"/>
        <w:numPr>
          <w:ilvl w:val="0"/>
          <w:numId w:val="0"/>
        </w:numPr>
        <w:jc w:val="both"/>
        <w:rPr>
          <w:rFonts w:ascii="Verdana" w:hAnsi="Verdana" w:cstheme="minorBidi"/>
          <w:b w:val="0"/>
          <w:color w:val="auto"/>
          <w:sz w:val="22"/>
          <w:szCs w:val="22"/>
          <w:lang w:val="en-US"/>
        </w:rPr>
      </w:pPr>
      <w:r w:rsidRPr="00595F14">
        <w:rPr>
          <w:rFonts w:ascii="Verdana" w:hAnsi="Verdana"/>
          <w:b w:val="0"/>
          <w:color w:val="auto"/>
          <w:sz w:val="22"/>
          <w:szCs w:val="22"/>
          <w:lang w:val="en-US"/>
        </w:rPr>
        <w:lastRenderedPageBreak/>
        <w:t xml:space="preserve">Fragility fractures are a major obstacle to healthy aging. As well as the significant burden on health and social care resources, the </w:t>
      </w:r>
      <w:r>
        <w:rPr>
          <w:rFonts w:ascii="Verdana" w:hAnsi="Verdana"/>
          <w:b w:val="0"/>
          <w:color w:val="auto"/>
          <w:sz w:val="22"/>
          <w:szCs w:val="22"/>
          <w:lang w:val="en-US"/>
        </w:rPr>
        <w:t>consequence</w:t>
      </w:r>
      <w:r w:rsidRPr="00595F14">
        <w:rPr>
          <w:rFonts w:ascii="Verdana" w:hAnsi="Verdana"/>
          <w:b w:val="0"/>
          <w:color w:val="auto"/>
          <w:sz w:val="22"/>
          <w:szCs w:val="22"/>
          <w:lang w:val="en-US"/>
        </w:rPr>
        <w:t xml:space="preserve"> of fractures on the individual can be devastating. The</w:t>
      </w:r>
      <w:r w:rsidRPr="003504CB">
        <w:rPr>
          <w:rFonts w:ascii="Verdana" w:hAnsi="Verdana" w:cstheme="minorBidi"/>
          <w:b w:val="0"/>
          <w:color w:val="auto"/>
          <w:sz w:val="22"/>
          <w:szCs w:val="22"/>
          <w:lang w:val="en-US"/>
        </w:rPr>
        <w:t xml:space="preserve"> impact of hip fracture is often recognised as precipitating the patient’s final illness</w:t>
      </w:r>
      <w:r>
        <w:rPr>
          <w:rFonts w:ascii="Verdana" w:hAnsi="Verdana" w:cstheme="minorBidi"/>
          <w:b w:val="0"/>
          <w:color w:val="auto"/>
          <w:sz w:val="22"/>
          <w:szCs w:val="22"/>
          <w:lang w:val="en-US"/>
        </w:rPr>
        <w:t>. Only a minority of people</w:t>
      </w:r>
      <w:r w:rsidRPr="003504CB">
        <w:rPr>
          <w:rFonts w:ascii="Verdana" w:hAnsi="Verdana" w:cstheme="minorBidi"/>
          <w:b w:val="0"/>
          <w:color w:val="auto"/>
          <w:sz w:val="22"/>
          <w:szCs w:val="22"/>
          <w:lang w:val="en-US"/>
        </w:rPr>
        <w:t xml:space="preserve"> completely rega</w:t>
      </w:r>
      <w:r>
        <w:rPr>
          <w:rFonts w:ascii="Verdana" w:hAnsi="Verdana" w:cstheme="minorBidi"/>
          <w:b w:val="0"/>
          <w:color w:val="auto"/>
          <w:sz w:val="22"/>
          <w:szCs w:val="22"/>
          <w:lang w:val="en-US"/>
        </w:rPr>
        <w:t>ining</w:t>
      </w:r>
      <w:r w:rsidRPr="003504CB">
        <w:rPr>
          <w:rFonts w:ascii="Verdana" w:hAnsi="Verdana" w:cstheme="minorBidi"/>
          <w:b w:val="0"/>
          <w:color w:val="auto"/>
          <w:sz w:val="22"/>
          <w:szCs w:val="22"/>
          <w:lang w:val="en-US"/>
        </w:rPr>
        <w:t xml:space="preserve"> their previous abilities</w:t>
      </w:r>
      <w:r>
        <w:rPr>
          <w:rFonts w:ascii="Verdana" w:hAnsi="Verdana" w:cstheme="minorBidi"/>
          <w:b w:val="0"/>
          <w:color w:val="auto"/>
          <w:sz w:val="22"/>
          <w:szCs w:val="22"/>
          <w:lang w:val="en-US"/>
        </w:rPr>
        <w:t xml:space="preserve"> and </w:t>
      </w:r>
      <w:r w:rsidRPr="003504CB">
        <w:rPr>
          <w:rFonts w:ascii="Verdana" w:hAnsi="Verdana" w:cstheme="minorBidi"/>
          <w:b w:val="0"/>
          <w:color w:val="auto"/>
          <w:sz w:val="22"/>
          <w:szCs w:val="22"/>
          <w:lang w:val="en-US"/>
        </w:rPr>
        <w:t xml:space="preserve">a quarter </w:t>
      </w:r>
      <w:r>
        <w:rPr>
          <w:rFonts w:ascii="Verdana" w:hAnsi="Verdana" w:cstheme="minorBidi"/>
          <w:b w:val="0"/>
          <w:color w:val="auto"/>
          <w:sz w:val="22"/>
          <w:szCs w:val="22"/>
          <w:lang w:val="en-US"/>
        </w:rPr>
        <w:t>require</w:t>
      </w:r>
      <w:r w:rsidRPr="003504CB">
        <w:rPr>
          <w:rFonts w:ascii="Verdana" w:hAnsi="Verdana" w:cstheme="minorBidi"/>
          <w:b w:val="0"/>
          <w:color w:val="auto"/>
          <w:sz w:val="22"/>
          <w:szCs w:val="22"/>
          <w:lang w:val="en-US"/>
        </w:rPr>
        <w:t xml:space="preserve"> long-term care</w:t>
      </w:r>
      <w:r w:rsidRPr="003504CB">
        <w:rPr>
          <w:rFonts w:cstheme="minorBidi"/>
          <w:b w:val="0"/>
          <w:color w:val="auto"/>
          <w:sz w:val="22"/>
          <w:szCs w:val="22"/>
          <w:vertAlign w:val="superscript"/>
          <w:lang w:val="en-US"/>
        </w:rPr>
        <w:endnoteReference w:id="28"/>
      </w:r>
      <w:r w:rsidRPr="003504CB">
        <w:rPr>
          <w:rFonts w:ascii="Verdana" w:hAnsi="Verdana" w:cstheme="minorBidi"/>
          <w:b w:val="0"/>
          <w:color w:val="auto"/>
          <w:sz w:val="22"/>
          <w:szCs w:val="22"/>
          <w:lang w:val="en-US"/>
        </w:rPr>
        <w:t>.</w:t>
      </w:r>
      <w:r>
        <w:rPr>
          <w:rFonts w:ascii="Verdana" w:hAnsi="Verdana" w:cstheme="minorBidi"/>
          <w:b w:val="0"/>
          <w:color w:val="auto"/>
          <w:sz w:val="22"/>
          <w:szCs w:val="22"/>
          <w:lang w:val="en-US"/>
        </w:rPr>
        <w:t xml:space="preserve"> </w:t>
      </w:r>
    </w:p>
    <w:p w14:paraId="24572CEA" w14:textId="77777777" w:rsidR="00704E7B" w:rsidRDefault="00704E7B" w:rsidP="00704E7B">
      <w:pPr>
        <w:pStyle w:val="Sub-heading"/>
        <w:numPr>
          <w:ilvl w:val="0"/>
          <w:numId w:val="0"/>
        </w:numPr>
        <w:jc w:val="both"/>
        <w:rPr>
          <w:rFonts w:ascii="Verdana" w:hAnsi="Verdana"/>
          <w:b w:val="0"/>
          <w:color w:val="auto"/>
          <w:sz w:val="22"/>
          <w:szCs w:val="22"/>
          <w:lang w:val="en-US"/>
        </w:rPr>
      </w:pPr>
      <w:r w:rsidRPr="00EE339E">
        <w:rPr>
          <w:rFonts w:ascii="Verdana" w:hAnsi="Verdana"/>
          <w:b w:val="0"/>
          <w:color w:val="auto"/>
          <w:sz w:val="22"/>
          <w:szCs w:val="22"/>
          <w:lang w:val="en-US"/>
        </w:rPr>
        <w:t>Frailty is common in older people experiencing hip fracture</w:t>
      </w:r>
      <w:r>
        <w:rPr>
          <w:rFonts w:ascii="Verdana" w:hAnsi="Verdana"/>
          <w:b w:val="0"/>
          <w:color w:val="auto"/>
          <w:sz w:val="22"/>
          <w:szCs w:val="22"/>
          <w:lang w:val="en-US"/>
        </w:rPr>
        <w:t xml:space="preserve"> and is a powerful predictor of adverse outcomes, including increased mortality and length of stay</w:t>
      </w:r>
      <w:r>
        <w:rPr>
          <w:rStyle w:val="EndnoteReference"/>
          <w:rFonts w:ascii="Verdana" w:hAnsi="Verdana"/>
          <w:b w:val="0"/>
          <w:color w:val="auto"/>
          <w:sz w:val="22"/>
          <w:szCs w:val="22"/>
          <w:lang w:val="en-US"/>
        </w:rPr>
        <w:endnoteReference w:id="29"/>
      </w:r>
      <w:r>
        <w:rPr>
          <w:rFonts w:ascii="Verdana" w:hAnsi="Verdana"/>
          <w:b w:val="0"/>
          <w:color w:val="auto"/>
          <w:sz w:val="22"/>
          <w:szCs w:val="22"/>
          <w:lang w:val="en-US"/>
        </w:rPr>
        <w:t>.</w:t>
      </w:r>
    </w:p>
    <w:p w14:paraId="3F62C6B4" w14:textId="77777777" w:rsidR="00704E7B" w:rsidRPr="00A246C4" w:rsidRDefault="00704E7B" w:rsidP="00704E7B">
      <w:pPr>
        <w:autoSpaceDE w:val="0"/>
        <w:autoSpaceDN w:val="0"/>
        <w:adjustRightInd w:val="0"/>
        <w:jc w:val="both"/>
        <w:rPr>
          <w:rFonts w:ascii="Verdana" w:hAnsi="Verdana"/>
          <w:szCs w:val="22"/>
        </w:rPr>
      </w:pPr>
      <w:r w:rsidRPr="00A246C4">
        <w:rPr>
          <w:rFonts w:ascii="Verdana" w:hAnsi="Verdana" w:cs="Arial"/>
          <w:color w:val="000000"/>
          <w:szCs w:val="22"/>
        </w:rPr>
        <w:t>The Department of Health’s 2009 strategy paper ‘Falls and Fractures: Effective Interventions in Health and Social Care’</w:t>
      </w:r>
      <w:r w:rsidRPr="00A246C4">
        <w:rPr>
          <w:rStyle w:val="EndnoteReference"/>
          <w:rFonts w:ascii="Verdana" w:hAnsi="Verdana" w:cs="Arial"/>
          <w:color w:val="000000"/>
          <w:szCs w:val="22"/>
        </w:rPr>
        <w:endnoteReference w:id="30"/>
      </w:r>
      <w:r w:rsidRPr="00A246C4">
        <w:rPr>
          <w:rFonts w:ascii="Verdana" w:hAnsi="Verdana" w:cs="Arial"/>
          <w:color w:val="000000"/>
          <w:szCs w:val="22"/>
        </w:rPr>
        <w:t xml:space="preserve"> recognised that the </w:t>
      </w:r>
      <w:r w:rsidRPr="00A246C4">
        <w:rPr>
          <w:rFonts w:ascii="Verdana" w:hAnsi="Verdana"/>
          <w:szCs w:val="22"/>
        </w:rPr>
        <w:t xml:space="preserve">consequences of falls and resultant fragility fractures cut across all local agencies working with older people.  Accordingly, they identified four key areas for intervention that commissioners should consider in the context of local services for falls and fracture prevention.  The document recommended developing services to achieve these four objectives, which were listed in priority order in terms of impact and </w:t>
      </w:r>
      <w:proofErr w:type="gramStart"/>
      <w:r w:rsidRPr="00A246C4">
        <w:rPr>
          <w:rFonts w:ascii="Verdana" w:hAnsi="Verdana"/>
          <w:szCs w:val="22"/>
        </w:rPr>
        <w:t>evidence-base</w:t>
      </w:r>
      <w:proofErr w:type="gramEnd"/>
      <w:r w:rsidRPr="00A246C4">
        <w:rPr>
          <w:rFonts w:ascii="Verdana" w:hAnsi="Verdana"/>
          <w:szCs w:val="22"/>
        </w:rPr>
        <w:t xml:space="preserve">.  Objective 1 was to improve patient outcomes and improve efficiency of care after hip fractures through compliance with core standards.  Objective 2 was to respond to a first fracture and prevent the second through fracture prevention services.  Objective 3 was early intervention to restore independence, through falls care pathways, linking acute and urgent care services to secondary prevention of further falls and injuries.  Objective 4 was about preventing frailty, promoting bone </w:t>
      </w:r>
      <w:proofErr w:type="gramStart"/>
      <w:r w:rsidRPr="00A246C4">
        <w:rPr>
          <w:rFonts w:ascii="Verdana" w:hAnsi="Verdana"/>
          <w:szCs w:val="22"/>
        </w:rPr>
        <w:t>health</w:t>
      </w:r>
      <w:proofErr w:type="gramEnd"/>
      <w:r w:rsidRPr="00A246C4">
        <w:rPr>
          <w:rFonts w:ascii="Verdana" w:hAnsi="Verdana"/>
          <w:szCs w:val="22"/>
        </w:rPr>
        <w:t xml:space="preserve"> and reducing accidents, through encouraging physical activity and healthy lifestyles, and reducing unnecessary environmental hazards.</w:t>
      </w:r>
    </w:p>
    <w:p w14:paraId="4B6DBBFC" w14:textId="77777777" w:rsidR="00704E7B" w:rsidRDefault="00704E7B" w:rsidP="00704E7B">
      <w:pPr>
        <w:autoSpaceDE w:val="0"/>
        <w:autoSpaceDN w:val="0"/>
        <w:adjustRightInd w:val="0"/>
        <w:jc w:val="both"/>
        <w:rPr>
          <w:rFonts w:ascii="Verdana" w:hAnsi="Verdana"/>
          <w:szCs w:val="22"/>
        </w:rPr>
      </w:pPr>
    </w:p>
    <w:p w14:paraId="4BD18F28" w14:textId="77777777" w:rsidR="00704E7B" w:rsidRDefault="00704E7B" w:rsidP="00704E7B">
      <w:pPr>
        <w:autoSpaceDE w:val="0"/>
        <w:autoSpaceDN w:val="0"/>
        <w:adjustRightInd w:val="0"/>
        <w:spacing w:after="120"/>
        <w:jc w:val="both"/>
        <w:rPr>
          <w:rFonts w:ascii="Verdana" w:hAnsi="Verdana" w:cs="Arial"/>
          <w:szCs w:val="22"/>
        </w:rPr>
      </w:pPr>
      <w:r w:rsidRPr="00A246C4">
        <w:rPr>
          <w:rFonts w:ascii="Verdana" w:hAnsi="Verdana"/>
          <w:szCs w:val="22"/>
        </w:rPr>
        <w:t>Objective 1 has largely been achieved following introduction of orthogeriatrican roles to improve the management of hip fracture patients on the ward, the Best Practice Tariff for hip fracture and the National Hip Fracture Database.  However, there is still some way to go in terms of objective 2 as one in five women who have</w:t>
      </w:r>
      <w:r>
        <w:rPr>
          <w:rFonts w:ascii="Verdana" w:hAnsi="Verdana"/>
          <w:szCs w:val="22"/>
        </w:rPr>
        <w:t xml:space="preserve"> had a fragility fracture</w:t>
      </w:r>
      <w:r w:rsidRPr="00A246C4">
        <w:rPr>
          <w:rFonts w:ascii="Verdana" w:hAnsi="Verdana"/>
          <w:szCs w:val="22"/>
        </w:rPr>
        <w:t xml:space="preserve">, </w:t>
      </w:r>
      <w:r>
        <w:rPr>
          <w:rFonts w:ascii="Verdana" w:hAnsi="Verdana"/>
          <w:szCs w:val="22"/>
        </w:rPr>
        <w:t xml:space="preserve">will </w:t>
      </w:r>
      <w:r w:rsidRPr="00A246C4">
        <w:rPr>
          <w:rFonts w:ascii="Verdana" w:hAnsi="Verdana"/>
          <w:szCs w:val="22"/>
        </w:rPr>
        <w:t>break</w:t>
      </w:r>
      <w:r>
        <w:rPr>
          <w:rFonts w:ascii="Verdana" w:hAnsi="Verdana"/>
          <w:szCs w:val="22"/>
        </w:rPr>
        <w:t xml:space="preserve"> </w:t>
      </w:r>
      <w:r w:rsidRPr="00A246C4">
        <w:rPr>
          <w:rFonts w:ascii="Verdana" w:hAnsi="Verdana"/>
          <w:szCs w:val="22"/>
        </w:rPr>
        <w:t xml:space="preserve">three </w:t>
      </w:r>
      <w:r>
        <w:rPr>
          <w:rFonts w:ascii="Verdana" w:hAnsi="Verdana"/>
          <w:szCs w:val="22"/>
        </w:rPr>
        <w:t xml:space="preserve">or more </w:t>
      </w:r>
      <w:r w:rsidRPr="00A246C4">
        <w:rPr>
          <w:rFonts w:ascii="Verdana" w:hAnsi="Verdana"/>
          <w:szCs w:val="22"/>
        </w:rPr>
        <w:t>bones before they are diagnosed with osteoporosis</w:t>
      </w:r>
      <w:r w:rsidRPr="00A246C4">
        <w:rPr>
          <w:rFonts w:ascii="Verdana" w:hAnsi="Verdana"/>
          <w:szCs w:val="22"/>
          <w:vertAlign w:val="superscript"/>
        </w:rPr>
        <w:endnoteReference w:id="31"/>
      </w:r>
      <w:r w:rsidRPr="00A246C4">
        <w:rPr>
          <w:rFonts w:ascii="Verdana" w:hAnsi="Verdana" w:cs="Arial"/>
          <w:szCs w:val="22"/>
        </w:rPr>
        <w:t xml:space="preserve">. </w:t>
      </w:r>
    </w:p>
    <w:p w14:paraId="41228B96" w14:textId="378B46C7" w:rsidR="00337C96" w:rsidRPr="0065158B" w:rsidRDefault="00704E7B" w:rsidP="00704E7B">
      <w:pPr>
        <w:jc w:val="both"/>
        <w:rPr>
          <w:rFonts w:ascii="Verdana" w:hAnsi="Verdana"/>
        </w:rPr>
      </w:pPr>
      <w:r w:rsidRPr="00560961">
        <w:rPr>
          <w:rFonts w:ascii="Verdana" w:hAnsi="Verdana" w:cs="Arial"/>
          <w:szCs w:val="22"/>
        </w:rPr>
        <w:t>The FLS model, as recommended in Public Health England’s Falls and Fragility Fracture Consensus statement (2017)</w:t>
      </w:r>
      <w:r>
        <w:rPr>
          <w:rFonts w:ascii="Verdana" w:hAnsi="Verdana" w:cs="Arial"/>
          <w:szCs w:val="22"/>
        </w:rPr>
        <w:t xml:space="preserve"> a</w:t>
      </w:r>
      <w:r w:rsidRPr="00560961">
        <w:rPr>
          <w:rFonts w:ascii="Verdana" w:hAnsi="Verdana" w:cs="Arial"/>
          <w:szCs w:val="22"/>
        </w:rPr>
        <w:t>s an evidence-based, cost effective, preventative intervention that can help to improve the health of the population and reduce health and care service demand</w:t>
      </w:r>
      <w:r w:rsidRPr="00560961">
        <w:rPr>
          <w:rStyle w:val="EndnoteReference"/>
          <w:rFonts w:ascii="Verdana" w:hAnsi="Verdana" w:cs="Arial"/>
          <w:szCs w:val="22"/>
        </w:rPr>
        <w:endnoteReference w:id="32"/>
      </w:r>
      <w:r w:rsidRPr="00560961">
        <w:rPr>
          <w:rFonts w:ascii="Verdana" w:hAnsi="Verdana" w:cs="Arial"/>
          <w:szCs w:val="22"/>
        </w:rPr>
        <w:t>.</w:t>
      </w:r>
      <w:r>
        <w:rPr>
          <w:rFonts w:ascii="Verdana" w:hAnsi="Verdana" w:cs="Arial"/>
          <w:szCs w:val="22"/>
        </w:rPr>
        <w:t xml:space="preserve"> </w:t>
      </w:r>
      <w:r w:rsidRPr="00C25469">
        <w:rPr>
          <w:rFonts w:ascii="Verdana" w:hAnsi="Verdana" w:cs="Arial"/>
          <w:sz w:val="20"/>
        </w:rPr>
        <w:t xml:space="preserve">In </w:t>
      </w:r>
      <w:r w:rsidRPr="008F3214">
        <w:rPr>
          <w:rFonts w:ascii="Verdana" w:hAnsi="Verdana" w:cs="Arial"/>
          <w:szCs w:val="22"/>
        </w:rPr>
        <w:t>addition, N</w:t>
      </w:r>
      <w:r w:rsidRPr="008F3214">
        <w:rPr>
          <w:rFonts w:ascii="Verdana" w:hAnsi="Verdana" w:cs="Segoe UI"/>
          <w:szCs w:val="22"/>
          <w:shd w:val="clear" w:color="auto" w:fill="FFFFFF"/>
        </w:rPr>
        <w:t>HS RightCare, whose pathways are designed to support local health economies to concentrate their improvement efforts where there is greatest opportunity to address variation and improve population health, recommend that c</w:t>
      </w:r>
      <w:r w:rsidRPr="008F3214">
        <w:rPr>
          <w:rFonts w:ascii="Verdana" w:hAnsi="Verdana"/>
          <w:szCs w:val="22"/>
        </w:rPr>
        <w:t xml:space="preserve">ommissioners focus on three priorities including: falls prevention; detecting and managing osteoporosis and providing optimal support after a fragility fracture. They identify fracture prevention services, incorporating </w:t>
      </w:r>
      <w:proofErr w:type="gramStart"/>
      <w:r w:rsidRPr="008F3214">
        <w:rPr>
          <w:rFonts w:ascii="Verdana" w:hAnsi="Verdana"/>
          <w:szCs w:val="22"/>
        </w:rPr>
        <w:t>4 and 12 month</w:t>
      </w:r>
      <w:proofErr w:type="gramEnd"/>
      <w:r w:rsidRPr="008F3214">
        <w:rPr>
          <w:rFonts w:ascii="Verdana" w:hAnsi="Verdana"/>
          <w:szCs w:val="22"/>
        </w:rPr>
        <w:t xml:space="preserve"> follow-up of patients, as a high value intervention on the basis that effective case-finding and appropriate drug treatment reduces risk of further fractures by up to 50%</w:t>
      </w:r>
      <w:r w:rsidRPr="008F3214">
        <w:rPr>
          <w:rStyle w:val="EndnoteReference"/>
          <w:rFonts w:ascii="Verdana" w:hAnsi="Verdana"/>
          <w:szCs w:val="22"/>
        </w:rPr>
        <w:endnoteReference w:id="33"/>
      </w:r>
      <w:r w:rsidRPr="008F3214">
        <w:rPr>
          <w:rFonts w:ascii="Verdana" w:hAnsi="Verdana" w:cs="Segoe UI"/>
          <w:szCs w:val="22"/>
          <w:shd w:val="clear" w:color="auto" w:fill="FFFFFF"/>
        </w:rPr>
        <w:t xml:space="preserve">.  </w:t>
      </w:r>
    </w:p>
    <w:bookmarkEnd w:id="0"/>
    <w:p w14:paraId="027F04E5" w14:textId="77777777" w:rsidR="003C13F2" w:rsidRPr="006D09E0" w:rsidRDefault="001D5782" w:rsidP="00D714A5">
      <w:pPr>
        <w:pStyle w:val="Heading2"/>
        <w:numPr>
          <w:ilvl w:val="0"/>
          <w:numId w:val="1"/>
        </w:numPr>
        <w:ind w:left="0" w:hanging="426"/>
        <w:rPr>
          <w:rFonts w:ascii="Verdana" w:hAnsi="Verdana"/>
          <w:sz w:val="28"/>
          <w:szCs w:val="28"/>
        </w:rPr>
      </w:pPr>
      <w:r w:rsidRPr="006D09E0">
        <w:rPr>
          <w:rFonts w:ascii="Verdana" w:hAnsi="Verdana"/>
          <w:sz w:val="28"/>
          <w:szCs w:val="28"/>
        </w:rPr>
        <w:t>Local strategy</w:t>
      </w:r>
    </w:p>
    <w:p w14:paraId="5DEB7E0F" w14:textId="5CFD4050" w:rsidR="009035E7" w:rsidRPr="006D09E0" w:rsidRDefault="009035E7" w:rsidP="0017736E">
      <w:pPr>
        <w:spacing w:after="120"/>
        <w:jc w:val="both"/>
        <w:rPr>
          <w:rFonts w:ascii="Verdana" w:hAnsi="Verdana" w:cs="Arial"/>
          <w:b/>
          <w:szCs w:val="22"/>
        </w:rPr>
      </w:pPr>
      <w:r w:rsidRPr="006D09E0">
        <w:rPr>
          <w:rFonts w:ascii="Verdana" w:hAnsi="Verdana" w:cs="Arial"/>
          <w:b/>
          <w:szCs w:val="22"/>
        </w:rPr>
        <w:t xml:space="preserve">[Link the requirement for </w:t>
      </w:r>
      <w:r w:rsidR="00AE2B53">
        <w:rPr>
          <w:rFonts w:ascii="Verdana" w:hAnsi="Verdana" w:cs="Arial"/>
          <w:b/>
          <w:szCs w:val="22"/>
        </w:rPr>
        <w:t>an FLS</w:t>
      </w:r>
      <w:r w:rsidRPr="006D09E0">
        <w:rPr>
          <w:rFonts w:ascii="Verdana" w:hAnsi="Verdana" w:cs="Arial"/>
          <w:b/>
          <w:szCs w:val="22"/>
        </w:rPr>
        <w:t xml:space="preserve"> to any relevant strategy or plan in your local trust or in the wider health economy</w:t>
      </w:r>
      <w:r w:rsidR="000B505D" w:rsidRPr="006D09E0">
        <w:rPr>
          <w:rFonts w:ascii="Verdana" w:hAnsi="Verdana" w:cs="Arial"/>
          <w:b/>
          <w:szCs w:val="22"/>
        </w:rPr>
        <w:t xml:space="preserve"> </w:t>
      </w:r>
      <w:proofErr w:type="gramStart"/>
      <w:r w:rsidR="000B505D" w:rsidRPr="006D09E0">
        <w:rPr>
          <w:rFonts w:ascii="Verdana" w:hAnsi="Verdana" w:cs="Arial"/>
          <w:b/>
          <w:szCs w:val="22"/>
        </w:rPr>
        <w:t>e.g.</w:t>
      </w:r>
      <w:proofErr w:type="gramEnd"/>
      <w:r w:rsidR="000B505D" w:rsidRPr="006D09E0">
        <w:rPr>
          <w:rFonts w:ascii="Verdana" w:hAnsi="Verdana" w:cs="Arial"/>
          <w:b/>
          <w:szCs w:val="22"/>
        </w:rPr>
        <w:t xml:space="preserve"> falls, frailty, long term conditions, delayed transfers of care</w:t>
      </w:r>
      <w:r w:rsidRPr="006D09E0">
        <w:rPr>
          <w:rFonts w:ascii="Verdana" w:hAnsi="Verdana" w:cs="Arial"/>
          <w:b/>
          <w:szCs w:val="22"/>
        </w:rPr>
        <w:t>.</w:t>
      </w:r>
      <w:r w:rsidR="008018C6" w:rsidRPr="006D09E0">
        <w:rPr>
          <w:rFonts w:ascii="Verdana" w:hAnsi="Verdana" w:cs="Arial"/>
          <w:b/>
          <w:szCs w:val="22"/>
        </w:rPr>
        <w:t xml:space="preserve"> </w:t>
      </w:r>
      <w:r w:rsidR="00E95998">
        <w:rPr>
          <w:rFonts w:ascii="Verdana" w:hAnsi="Verdana" w:cs="Arial"/>
          <w:b/>
          <w:szCs w:val="22"/>
        </w:rPr>
        <w:t>L</w:t>
      </w:r>
      <w:r w:rsidR="0017736E">
        <w:rPr>
          <w:rFonts w:ascii="Verdana" w:hAnsi="Verdana" w:cs="Arial"/>
          <w:b/>
          <w:szCs w:val="22"/>
        </w:rPr>
        <w:t xml:space="preserve">ook at your local arrangements </w:t>
      </w:r>
      <w:proofErr w:type="gramStart"/>
      <w:r w:rsidR="0017736E">
        <w:rPr>
          <w:rFonts w:ascii="Verdana" w:hAnsi="Verdana" w:cs="Arial"/>
          <w:b/>
          <w:szCs w:val="22"/>
        </w:rPr>
        <w:t>i.e.</w:t>
      </w:r>
      <w:proofErr w:type="gramEnd"/>
      <w:r w:rsidR="0017736E">
        <w:rPr>
          <w:rFonts w:ascii="Verdana" w:hAnsi="Verdana" w:cs="Arial"/>
          <w:b/>
          <w:szCs w:val="22"/>
        </w:rPr>
        <w:t xml:space="preserve"> </w:t>
      </w:r>
      <w:r w:rsidR="00485263" w:rsidRPr="006D09E0">
        <w:rPr>
          <w:rFonts w:ascii="Verdana" w:hAnsi="Verdana" w:cs="Arial"/>
          <w:b/>
          <w:szCs w:val="22"/>
        </w:rPr>
        <w:t>Clinical Commissioning Group (CCG</w:t>
      </w:r>
      <w:r w:rsidR="00982373">
        <w:rPr>
          <w:rFonts w:ascii="Verdana" w:hAnsi="Verdana" w:cs="Arial"/>
          <w:b/>
          <w:szCs w:val="22"/>
        </w:rPr>
        <w:t>)</w:t>
      </w:r>
      <w:r w:rsidR="00485263" w:rsidRPr="006D09E0">
        <w:rPr>
          <w:rFonts w:ascii="Verdana" w:hAnsi="Verdana" w:cs="Arial"/>
          <w:b/>
          <w:szCs w:val="22"/>
        </w:rPr>
        <w:t xml:space="preserve"> Operational plans will reflect the contribution of the CCG to the overall STP, check your STP for the individual CCG you are writing for</w:t>
      </w:r>
      <w:r w:rsidR="00485263">
        <w:rPr>
          <w:rFonts w:ascii="Verdana" w:hAnsi="Verdana" w:cs="Arial"/>
          <w:b/>
          <w:szCs w:val="22"/>
        </w:rPr>
        <w:t xml:space="preserve">, </w:t>
      </w:r>
      <w:r w:rsidR="0017736E">
        <w:rPr>
          <w:rFonts w:ascii="Verdana" w:hAnsi="Verdana" w:cs="Arial"/>
          <w:b/>
          <w:szCs w:val="22"/>
        </w:rPr>
        <w:t xml:space="preserve">is there a </w:t>
      </w:r>
      <w:r w:rsidR="005F74ED">
        <w:rPr>
          <w:rFonts w:ascii="Verdana" w:hAnsi="Verdana" w:cs="Arial"/>
          <w:b/>
          <w:szCs w:val="22"/>
        </w:rPr>
        <w:t xml:space="preserve">Better Care Fund, a </w:t>
      </w:r>
      <w:r w:rsidR="0017736E">
        <w:rPr>
          <w:rFonts w:ascii="Verdana" w:hAnsi="Verdana" w:cs="Arial"/>
          <w:b/>
          <w:szCs w:val="22"/>
        </w:rPr>
        <w:t xml:space="preserve">Primary Care Network, an Integrated Care System? </w:t>
      </w:r>
      <w:r w:rsidR="00982373">
        <w:rPr>
          <w:rFonts w:ascii="Verdana" w:hAnsi="Verdana" w:cs="Arial"/>
          <w:b/>
          <w:szCs w:val="22"/>
        </w:rPr>
        <w:t xml:space="preserve">What about operational plans </w:t>
      </w:r>
      <w:r w:rsidR="00982373">
        <w:rPr>
          <w:rFonts w:ascii="Verdana" w:hAnsi="Verdana" w:cs="Arial"/>
          <w:b/>
          <w:szCs w:val="22"/>
        </w:rPr>
        <w:lastRenderedPageBreak/>
        <w:t xml:space="preserve">for Health Boards – how does FLS fit with that strategy? </w:t>
      </w:r>
      <w:proofErr w:type="gramStart"/>
      <w:r w:rsidR="0017736E">
        <w:rPr>
          <w:rFonts w:ascii="Verdana" w:hAnsi="Verdana" w:cs="Arial"/>
          <w:b/>
          <w:szCs w:val="22"/>
        </w:rPr>
        <w:t>Look</w:t>
      </w:r>
      <w:proofErr w:type="gramEnd"/>
      <w:r w:rsidR="0017736E">
        <w:rPr>
          <w:rFonts w:ascii="Verdana" w:hAnsi="Verdana" w:cs="Arial"/>
          <w:b/>
          <w:szCs w:val="22"/>
        </w:rPr>
        <w:t xml:space="preserve"> at all local strategies available</w:t>
      </w:r>
      <w:r w:rsidR="00765108">
        <w:rPr>
          <w:rFonts w:ascii="Verdana" w:hAnsi="Verdana" w:cs="Arial"/>
          <w:b/>
          <w:szCs w:val="22"/>
        </w:rPr>
        <w:t xml:space="preserve"> </w:t>
      </w:r>
      <w:r w:rsidR="00E95998">
        <w:rPr>
          <w:rFonts w:ascii="Verdana" w:hAnsi="Verdana" w:cs="Arial"/>
          <w:b/>
          <w:szCs w:val="22"/>
        </w:rPr>
        <w:t>and s</w:t>
      </w:r>
      <w:r w:rsidR="00533D6A">
        <w:rPr>
          <w:rFonts w:ascii="Verdana" w:hAnsi="Verdana" w:cs="Arial"/>
          <w:b/>
          <w:szCs w:val="22"/>
        </w:rPr>
        <w:t xml:space="preserve">how how investing in </w:t>
      </w:r>
      <w:r w:rsidR="00AE2B53">
        <w:rPr>
          <w:rFonts w:ascii="Verdana" w:hAnsi="Verdana" w:cs="Arial"/>
          <w:b/>
          <w:szCs w:val="22"/>
        </w:rPr>
        <w:t>an FLS</w:t>
      </w:r>
      <w:r w:rsidRPr="006D09E0">
        <w:rPr>
          <w:rFonts w:ascii="Verdana" w:hAnsi="Verdana" w:cs="Arial"/>
          <w:b/>
          <w:szCs w:val="22"/>
        </w:rPr>
        <w:t xml:space="preserve"> will help to meet any specific targ</w:t>
      </w:r>
      <w:r w:rsidR="00302BC0" w:rsidRPr="006D09E0">
        <w:rPr>
          <w:rFonts w:ascii="Verdana" w:hAnsi="Verdana" w:cs="Arial"/>
          <w:b/>
          <w:szCs w:val="22"/>
        </w:rPr>
        <w:t>e</w:t>
      </w:r>
      <w:r w:rsidRPr="006D09E0">
        <w:rPr>
          <w:rFonts w:ascii="Verdana" w:hAnsi="Verdana" w:cs="Arial"/>
          <w:b/>
          <w:szCs w:val="22"/>
        </w:rPr>
        <w:t>ts in these plans.]</w:t>
      </w:r>
    </w:p>
    <w:p w14:paraId="3414EF2E" w14:textId="57C915E3" w:rsidR="005B376D" w:rsidRPr="006D09E0" w:rsidRDefault="006C240C" w:rsidP="00B103B6">
      <w:pPr>
        <w:spacing w:after="120"/>
        <w:jc w:val="both"/>
        <w:rPr>
          <w:rFonts w:ascii="Verdana" w:hAnsi="Verdana" w:cs="Arial"/>
          <w:b/>
          <w:szCs w:val="22"/>
        </w:rPr>
      </w:pPr>
      <w:r w:rsidRPr="006D09E0">
        <w:rPr>
          <w:rFonts w:ascii="Verdana" w:hAnsi="Verdana" w:cs="Arial"/>
          <w:b/>
          <w:szCs w:val="22"/>
        </w:rPr>
        <w:t xml:space="preserve">[add the reference for your local strategy </w:t>
      </w:r>
      <w:r>
        <w:rPr>
          <w:rFonts w:ascii="Verdana" w:hAnsi="Verdana" w:cs="Arial"/>
          <w:b/>
          <w:szCs w:val="22"/>
        </w:rPr>
        <w:t>by adding another ‘endnote’ at the appropriate place under the ‘references’ tab in the ribbon in Word</w:t>
      </w:r>
      <w:r w:rsidRPr="006D09E0">
        <w:rPr>
          <w:rFonts w:ascii="Verdana" w:hAnsi="Verdana" w:cs="Arial"/>
          <w:b/>
          <w:szCs w:val="22"/>
        </w:rPr>
        <w:t xml:space="preserve">]  </w:t>
      </w:r>
    </w:p>
    <w:p w14:paraId="3F0AB19D" w14:textId="7B74C2D6" w:rsidR="00485263" w:rsidRDefault="006600B7" w:rsidP="00485263">
      <w:pPr>
        <w:spacing w:after="120"/>
        <w:jc w:val="both"/>
        <w:rPr>
          <w:rFonts w:ascii="Verdana" w:hAnsi="Verdana" w:cs="Arial"/>
          <w:szCs w:val="22"/>
        </w:rPr>
      </w:pPr>
      <w:bookmarkStart w:id="3" w:name="_Hlk535585229"/>
      <w:r>
        <w:rPr>
          <w:rFonts w:ascii="Verdana" w:hAnsi="Verdana" w:cs="Arial"/>
          <w:b/>
          <w:bCs/>
          <w:u w:val="single"/>
        </w:rPr>
        <w:t>[</w:t>
      </w:r>
      <w:r w:rsidRPr="006600B7">
        <w:rPr>
          <w:rFonts w:ascii="Verdana" w:hAnsi="Verdana" w:cs="Arial"/>
          <w:b/>
          <w:bCs/>
        </w:rPr>
        <w:t>add in the impact on social care:</w:t>
      </w:r>
      <w:r w:rsidRPr="006600B7">
        <w:rPr>
          <w:rFonts w:ascii="Verdana" w:hAnsi="Verdana" w:cs="Arial"/>
        </w:rPr>
        <w:t xml:space="preserve"> </w:t>
      </w:r>
      <w:r w:rsidR="000F02E8" w:rsidRPr="006D09E0">
        <w:rPr>
          <w:rFonts w:ascii="Verdana" w:hAnsi="Verdana" w:cs="Arial"/>
          <w:szCs w:val="22"/>
        </w:rPr>
        <w:t xml:space="preserve">Over a </w:t>
      </w:r>
      <w:r w:rsidR="00273702" w:rsidRPr="006D09E0">
        <w:rPr>
          <w:rFonts w:ascii="Verdana" w:hAnsi="Verdana" w:cs="Arial"/>
          <w:szCs w:val="22"/>
        </w:rPr>
        <w:t>5-year</w:t>
      </w:r>
      <w:r w:rsidR="000F02E8" w:rsidRPr="006D09E0">
        <w:rPr>
          <w:rFonts w:ascii="Verdana" w:hAnsi="Verdana" w:cs="Arial"/>
          <w:szCs w:val="22"/>
        </w:rPr>
        <w:t xml:space="preserve"> period, having </w:t>
      </w:r>
      <w:r w:rsidR="00AE2B53">
        <w:rPr>
          <w:rFonts w:ascii="Verdana" w:hAnsi="Verdana" w:cs="Arial"/>
          <w:szCs w:val="22"/>
        </w:rPr>
        <w:t>an FLS</w:t>
      </w:r>
      <w:r w:rsidR="00804DCD" w:rsidRPr="006D09E0">
        <w:rPr>
          <w:rFonts w:ascii="Verdana" w:hAnsi="Verdana" w:cs="Arial"/>
          <w:szCs w:val="22"/>
        </w:rPr>
        <w:t xml:space="preserve"> at </w:t>
      </w:r>
      <w:r w:rsidR="000F02E8" w:rsidRPr="006D09E0">
        <w:rPr>
          <w:rFonts w:ascii="Verdana" w:hAnsi="Verdana" w:cs="Arial"/>
          <w:b/>
          <w:szCs w:val="22"/>
        </w:rPr>
        <w:t>[insert name of organisation]</w:t>
      </w:r>
      <w:r w:rsidR="000F02E8" w:rsidRPr="006D09E0">
        <w:rPr>
          <w:rFonts w:ascii="Verdana" w:hAnsi="Verdana" w:cs="Arial"/>
          <w:szCs w:val="22"/>
        </w:rPr>
        <w:t xml:space="preserve"> has</w:t>
      </w:r>
      <w:r w:rsidR="00804DCD" w:rsidRPr="006D09E0">
        <w:rPr>
          <w:rFonts w:ascii="Verdana" w:hAnsi="Verdana" w:cs="Arial"/>
          <w:szCs w:val="22"/>
        </w:rPr>
        <w:t xml:space="preserve"> financial benefit</w:t>
      </w:r>
      <w:r w:rsidR="000F02E8" w:rsidRPr="006D09E0">
        <w:rPr>
          <w:rFonts w:ascii="Verdana" w:hAnsi="Verdana" w:cs="Arial"/>
          <w:szCs w:val="22"/>
        </w:rPr>
        <w:t>s</w:t>
      </w:r>
      <w:r w:rsidR="00804DCD" w:rsidRPr="006D09E0">
        <w:rPr>
          <w:rFonts w:ascii="Verdana" w:hAnsi="Verdana" w:cs="Arial"/>
          <w:szCs w:val="22"/>
        </w:rPr>
        <w:t xml:space="preserve"> </w:t>
      </w:r>
      <w:r w:rsidR="00613232" w:rsidRPr="006D09E0">
        <w:rPr>
          <w:rFonts w:ascii="Verdana" w:hAnsi="Verdana" w:cs="Arial"/>
          <w:szCs w:val="22"/>
        </w:rPr>
        <w:t xml:space="preserve">to </w:t>
      </w:r>
      <w:r w:rsidR="000F02E8" w:rsidRPr="006D09E0">
        <w:rPr>
          <w:rFonts w:ascii="Verdana" w:hAnsi="Verdana" w:cs="Arial"/>
          <w:szCs w:val="22"/>
        </w:rPr>
        <w:t xml:space="preserve">both </w:t>
      </w:r>
      <w:r w:rsidR="00613232" w:rsidRPr="006D09E0">
        <w:rPr>
          <w:rFonts w:ascii="Verdana" w:hAnsi="Verdana" w:cs="Arial"/>
          <w:szCs w:val="22"/>
        </w:rPr>
        <w:t>the health and social care economy of</w:t>
      </w:r>
      <w:r w:rsidR="000F02E8" w:rsidRPr="006D09E0">
        <w:rPr>
          <w:rFonts w:ascii="Verdana" w:hAnsi="Verdana" w:cs="Arial"/>
          <w:b/>
          <w:szCs w:val="22"/>
        </w:rPr>
        <w:t xml:space="preserve"> [</w:t>
      </w:r>
      <w:r w:rsidR="004E64D7">
        <w:rPr>
          <w:rFonts w:ascii="Verdana" w:hAnsi="Verdana"/>
          <w:b/>
        </w:rPr>
        <w:t>contact the ROS if you need help getting this figure</w:t>
      </w:r>
      <w:r w:rsidR="000F02E8" w:rsidRPr="006D09E0">
        <w:rPr>
          <w:rFonts w:ascii="Verdana" w:hAnsi="Verdana" w:cs="Arial"/>
          <w:b/>
          <w:szCs w:val="22"/>
        </w:rPr>
        <w:t>]</w:t>
      </w:r>
      <w:r w:rsidR="000F02E8" w:rsidRPr="006D09E0">
        <w:rPr>
          <w:rFonts w:ascii="Verdana" w:hAnsi="Verdana" w:cs="Arial"/>
          <w:szCs w:val="22"/>
        </w:rPr>
        <w:t xml:space="preserve">, </w:t>
      </w:r>
      <w:r w:rsidR="00E5405B" w:rsidRPr="006D09E0">
        <w:rPr>
          <w:rFonts w:ascii="Verdana" w:hAnsi="Verdana" w:cs="Arial"/>
          <w:szCs w:val="22"/>
        </w:rPr>
        <w:t xml:space="preserve">with the social care element comprising of </w:t>
      </w:r>
      <w:r w:rsidR="000F02E8" w:rsidRPr="006D09E0">
        <w:rPr>
          <w:rFonts w:ascii="Verdana" w:hAnsi="Verdana" w:cs="Arial"/>
          <w:b/>
          <w:szCs w:val="22"/>
        </w:rPr>
        <w:t>[insert total benefits to social care</w:t>
      </w:r>
      <w:r w:rsidR="004E64D7">
        <w:rPr>
          <w:rFonts w:ascii="Verdana" w:hAnsi="Verdana" w:cs="Arial"/>
          <w:b/>
          <w:szCs w:val="22"/>
        </w:rPr>
        <w:t>,</w:t>
      </w:r>
      <w:r w:rsidR="000F02E8" w:rsidRPr="006D09E0">
        <w:rPr>
          <w:rFonts w:ascii="Verdana" w:hAnsi="Verdana" w:cs="Arial"/>
          <w:b/>
          <w:szCs w:val="22"/>
        </w:rPr>
        <w:t xml:space="preserve"> </w:t>
      </w:r>
      <w:r w:rsidR="004E64D7">
        <w:rPr>
          <w:rFonts w:ascii="Verdana" w:hAnsi="Verdana"/>
          <w:b/>
        </w:rPr>
        <w:t>contact the ROS if you need help getting this figure</w:t>
      </w:r>
      <w:r w:rsidR="000F02E8" w:rsidRPr="006D09E0">
        <w:rPr>
          <w:rFonts w:ascii="Verdana" w:hAnsi="Verdana" w:cs="Arial"/>
          <w:b/>
          <w:szCs w:val="22"/>
        </w:rPr>
        <w:t>]</w:t>
      </w:r>
      <w:r w:rsidR="00E5405B" w:rsidRPr="006D09E0">
        <w:rPr>
          <w:rFonts w:ascii="Verdana" w:hAnsi="Verdana" w:cs="Arial"/>
          <w:b/>
          <w:szCs w:val="22"/>
        </w:rPr>
        <w:t xml:space="preserve"> </w:t>
      </w:r>
      <w:r w:rsidR="00E5405B" w:rsidRPr="006D09E0">
        <w:rPr>
          <w:rFonts w:ascii="Verdana" w:hAnsi="Verdana" w:cs="Arial"/>
          <w:szCs w:val="22"/>
        </w:rPr>
        <w:t>of this</w:t>
      </w:r>
      <w:r w:rsidR="005C063A">
        <w:rPr>
          <w:rStyle w:val="EndnoteReference"/>
          <w:rFonts w:ascii="Verdana" w:hAnsi="Verdana" w:cs="Arial"/>
          <w:szCs w:val="22"/>
        </w:rPr>
        <w:endnoteReference w:id="34"/>
      </w:r>
      <w:r w:rsidR="00804DCD" w:rsidRPr="006D09E0">
        <w:rPr>
          <w:rFonts w:ascii="Verdana" w:hAnsi="Verdana" w:cs="Arial"/>
          <w:szCs w:val="22"/>
        </w:rPr>
        <w:t xml:space="preserve">. </w:t>
      </w:r>
      <w:bookmarkEnd w:id="3"/>
    </w:p>
    <w:p w14:paraId="127E459A" w14:textId="77777777" w:rsidR="00FF224B" w:rsidRPr="006D09E0" w:rsidRDefault="00FF224B" w:rsidP="00485263">
      <w:pPr>
        <w:spacing w:after="120"/>
        <w:jc w:val="both"/>
        <w:rPr>
          <w:rFonts w:ascii="Verdana" w:hAnsi="Verdana" w:cs="Arial"/>
          <w:b/>
          <w:color w:val="000000"/>
          <w:sz w:val="24"/>
        </w:rPr>
      </w:pPr>
    </w:p>
    <w:p w14:paraId="7E47AF5D" w14:textId="517ED527" w:rsidR="009E46A6" w:rsidRPr="006D09E0" w:rsidRDefault="001E6876" w:rsidP="009E46A6">
      <w:pPr>
        <w:spacing w:after="120"/>
        <w:jc w:val="both"/>
        <w:rPr>
          <w:rFonts w:ascii="Verdana" w:hAnsi="Verdana" w:cs="Arial"/>
          <w:b/>
          <w:szCs w:val="22"/>
          <w:u w:val="single"/>
        </w:rPr>
      </w:pPr>
      <w:r>
        <w:rPr>
          <w:rFonts w:ascii="Verdana" w:hAnsi="Verdana" w:cs="Arial"/>
          <w:b/>
          <w:szCs w:val="22"/>
          <w:u w:val="single"/>
        </w:rPr>
        <w:t xml:space="preserve">If relevant to your locality: </w:t>
      </w:r>
      <w:r w:rsidR="00791272">
        <w:rPr>
          <w:rFonts w:ascii="Verdana" w:hAnsi="Verdana" w:cs="Arial"/>
          <w:b/>
          <w:szCs w:val="22"/>
          <w:u w:val="single"/>
        </w:rPr>
        <w:t xml:space="preserve">NHS </w:t>
      </w:r>
      <w:r w:rsidR="009E46A6" w:rsidRPr="006D09E0">
        <w:rPr>
          <w:rFonts w:ascii="Verdana" w:hAnsi="Verdana" w:cs="Arial"/>
          <w:b/>
          <w:szCs w:val="22"/>
          <w:u w:val="single"/>
        </w:rPr>
        <w:t>RightCare: Commissioning for Value:</w:t>
      </w:r>
    </w:p>
    <w:p w14:paraId="48AB167E" w14:textId="77777777" w:rsidR="00476373" w:rsidRPr="006D09E0" w:rsidRDefault="009E46A6" w:rsidP="00476373">
      <w:pPr>
        <w:spacing w:after="120"/>
        <w:rPr>
          <w:rFonts w:ascii="Verdana" w:hAnsi="Verdana" w:cs="Arial"/>
          <w:b/>
          <w:szCs w:val="22"/>
        </w:rPr>
      </w:pPr>
      <w:r w:rsidRPr="006D09E0">
        <w:rPr>
          <w:rFonts w:ascii="Verdana" w:hAnsi="Verdana" w:cs="Arial"/>
          <w:b/>
          <w:szCs w:val="22"/>
        </w:rPr>
        <w:t>[Look up the relevant CCG</w:t>
      </w:r>
      <w:r w:rsidR="00476373" w:rsidRPr="006D09E0">
        <w:rPr>
          <w:rFonts w:ascii="Verdana" w:hAnsi="Verdana" w:cs="Arial"/>
          <w:b/>
          <w:szCs w:val="22"/>
        </w:rPr>
        <w:t xml:space="preserve"> RightCare MSK data pack here:</w:t>
      </w:r>
    </w:p>
    <w:p w14:paraId="324AA765" w14:textId="6ECCFA4C" w:rsidR="00476373" w:rsidRPr="006D09E0" w:rsidRDefault="00F81852" w:rsidP="00476373">
      <w:pPr>
        <w:spacing w:after="120"/>
        <w:rPr>
          <w:rStyle w:val="Hyperlink"/>
          <w:rFonts w:ascii="Verdana" w:hAnsi="Verdana" w:cs="Arial"/>
          <w:szCs w:val="22"/>
          <w:u w:val="none"/>
        </w:rPr>
      </w:pPr>
      <w:hyperlink r:id="rId13" w:history="1">
        <w:r w:rsidR="00476373" w:rsidRPr="006D09E0">
          <w:rPr>
            <w:rStyle w:val="Hyperlink"/>
            <w:rFonts w:ascii="Verdana" w:hAnsi="Verdana" w:cs="Arial"/>
            <w:szCs w:val="22"/>
          </w:rPr>
          <w:t>https://www.england.nhs.uk/rightcare/intel/cfv/data-packs/</w:t>
        </w:r>
      </w:hyperlink>
      <w:r w:rsidR="00476373" w:rsidRPr="006D09E0">
        <w:rPr>
          <w:rStyle w:val="Hyperlink"/>
          <w:rFonts w:ascii="Verdana" w:hAnsi="Verdana" w:cs="Arial"/>
          <w:szCs w:val="22"/>
        </w:rPr>
        <w:t xml:space="preserve">    </w:t>
      </w:r>
    </w:p>
    <w:p w14:paraId="1F1F7641" w14:textId="6A3BE54F" w:rsidR="009E46A6" w:rsidRPr="006D09E0" w:rsidRDefault="00476373" w:rsidP="009E46A6">
      <w:pPr>
        <w:spacing w:after="120"/>
        <w:jc w:val="both"/>
        <w:rPr>
          <w:rFonts w:ascii="Verdana" w:hAnsi="Verdana" w:cs="Arial"/>
          <w:b/>
          <w:szCs w:val="22"/>
        </w:rPr>
      </w:pPr>
      <w:r w:rsidRPr="006D09E0">
        <w:rPr>
          <w:rFonts w:ascii="Verdana" w:hAnsi="Verdana" w:cs="Arial"/>
          <w:b/>
          <w:szCs w:val="22"/>
        </w:rPr>
        <w:t>I</w:t>
      </w:r>
      <w:r w:rsidR="009E46A6" w:rsidRPr="006D09E0">
        <w:rPr>
          <w:rFonts w:ascii="Verdana" w:hAnsi="Verdana" w:cs="Arial"/>
          <w:b/>
          <w:szCs w:val="22"/>
        </w:rPr>
        <w:t>f appropriate</w:t>
      </w:r>
      <w:r w:rsidR="00403FE0">
        <w:rPr>
          <w:rFonts w:ascii="Verdana" w:hAnsi="Verdana" w:cs="Arial"/>
          <w:b/>
          <w:szCs w:val="22"/>
        </w:rPr>
        <w:t>.</w:t>
      </w:r>
      <w:r w:rsidR="009E46A6" w:rsidRPr="006D09E0">
        <w:rPr>
          <w:rFonts w:ascii="Verdana" w:hAnsi="Verdana" w:cs="Arial"/>
          <w:b/>
          <w:szCs w:val="22"/>
        </w:rPr>
        <w:t xml:space="preserve"> </w:t>
      </w:r>
      <w:r w:rsidR="00246CEA" w:rsidRPr="006D09E0">
        <w:rPr>
          <w:rFonts w:ascii="Verdana" w:hAnsi="Verdana" w:cs="Arial"/>
          <w:b/>
          <w:szCs w:val="22"/>
        </w:rPr>
        <w:t>list</w:t>
      </w:r>
      <w:r w:rsidR="009E46A6" w:rsidRPr="006D09E0">
        <w:rPr>
          <w:rFonts w:ascii="Verdana" w:hAnsi="Verdana" w:cs="Arial"/>
          <w:b/>
          <w:szCs w:val="22"/>
        </w:rPr>
        <w:t xml:space="preserve"> the specific opportunities highlighted related to osteoporosis assessment and treat</w:t>
      </w:r>
      <w:r w:rsidR="00533D6A">
        <w:rPr>
          <w:rFonts w:ascii="Verdana" w:hAnsi="Verdana" w:cs="Arial"/>
          <w:b/>
          <w:szCs w:val="22"/>
        </w:rPr>
        <w:t xml:space="preserve">ment to show how investing in </w:t>
      </w:r>
      <w:r w:rsidR="00AE2B53">
        <w:rPr>
          <w:rFonts w:ascii="Verdana" w:hAnsi="Verdana" w:cs="Arial"/>
          <w:b/>
          <w:szCs w:val="22"/>
        </w:rPr>
        <w:t>an FLS</w:t>
      </w:r>
      <w:r w:rsidR="009E46A6" w:rsidRPr="006D09E0">
        <w:rPr>
          <w:rFonts w:ascii="Verdana" w:hAnsi="Verdana" w:cs="Arial"/>
          <w:b/>
          <w:szCs w:val="22"/>
        </w:rPr>
        <w:t xml:space="preserve"> wil</w:t>
      </w:r>
      <w:r w:rsidRPr="006D09E0">
        <w:rPr>
          <w:rFonts w:ascii="Verdana" w:hAnsi="Verdana" w:cs="Arial"/>
          <w:b/>
          <w:szCs w:val="22"/>
        </w:rPr>
        <w:t>l help address them as described below]</w:t>
      </w:r>
    </w:p>
    <w:p w14:paraId="7A4ABCF9" w14:textId="20E2C29F" w:rsidR="009E46A6" w:rsidRPr="00D46162" w:rsidRDefault="00791272" w:rsidP="009E46A6">
      <w:pPr>
        <w:spacing w:after="120"/>
        <w:jc w:val="both"/>
        <w:rPr>
          <w:rFonts w:ascii="Verdana" w:hAnsi="Verdana" w:cs="Arial"/>
          <w:szCs w:val="22"/>
        </w:rPr>
      </w:pPr>
      <w:r>
        <w:rPr>
          <w:rFonts w:ascii="Verdana" w:hAnsi="Verdana"/>
        </w:rPr>
        <w:t>The C</w:t>
      </w:r>
      <w:r w:rsidR="00F63E36" w:rsidRPr="009E0E3E">
        <w:rPr>
          <w:rFonts w:ascii="Verdana" w:hAnsi="Verdana"/>
        </w:rPr>
        <w:t xml:space="preserve">ommissioning for Value packs for </w:t>
      </w:r>
      <w:r w:rsidR="00F63E36" w:rsidRPr="00D46162">
        <w:rPr>
          <w:rFonts w:ascii="Verdana" w:hAnsi="Verdana" w:cs="Arial"/>
          <w:b/>
          <w:szCs w:val="22"/>
        </w:rPr>
        <w:t>[insert name(s) of the CCGs]</w:t>
      </w:r>
      <w:r w:rsidR="00F63E36">
        <w:rPr>
          <w:rFonts w:ascii="Verdana" w:hAnsi="Verdana" w:cs="Arial"/>
          <w:szCs w:val="22"/>
        </w:rPr>
        <w:t xml:space="preserve"> </w:t>
      </w:r>
      <w:r w:rsidR="00F63E36" w:rsidRPr="009E0E3E">
        <w:rPr>
          <w:rFonts w:ascii="Verdana" w:hAnsi="Verdana"/>
        </w:rPr>
        <w:t>demonstrate, that measured against their 10 comparative CCGs</w:t>
      </w:r>
      <w:r w:rsidR="00F63E36">
        <w:rPr>
          <w:rFonts w:ascii="Verdana" w:hAnsi="Verdana" w:cs="Arial"/>
          <w:szCs w:val="22"/>
        </w:rPr>
        <w:t xml:space="preserve"> </w:t>
      </w:r>
      <w:r w:rsidR="009E46A6" w:rsidRPr="00D46162">
        <w:rPr>
          <w:rFonts w:ascii="Verdana" w:hAnsi="Verdana" w:cs="Arial"/>
          <w:szCs w:val="22"/>
        </w:rPr>
        <w:t xml:space="preserve">there is opportunity for improvement in the </w:t>
      </w:r>
      <w:bookmarkStart w:id="4" w:name="_Hlk535585500"/>
      <w:r w:rsidR="009E46A6" w:rsidRPr="00D46162">
        <w:rPr>
          <w:rFonts w:ascii="Verdana" w:hAnsi="Verdana" w:cs="Arial"/>
          <w:szCs w:val="22"/>
        </w:rPr>
        <w:t>following areas</w:t>
      </w:r>
      <w:r w:rsidR="005C063A">
        <w:rPr>
          <w:rStyle w:val="EndnoteReference"/>
          <w:rFonts w:ascii="Verdana" w:hAnsi="Verdana" w:cs="Arial"/>
          <w:szCs w:val="22"/>
        </w:rPr>
        <w:endnoteReference w:id="35"/>
      </w:r>
      <w:bookmarkEnd w:id="4"/>
      <w:r w:rsidR="00BF4363" w:rsidRPr="00D46162">
        <w:rPr>
          <w:rFonts w:ascii="Verdana" w:hAnsi="Verdana" w:cs="Arial"/>
          <w:szCs w:val="22"/>
        </w:rPr>
        <w:t>:</w:t>
      </w:r>
      <w:r w:rsidR="00D46162" w:rsidRPr="00D46162">
        <w:rPr>
          <w:rFonts w:ascii="Verdana" w:hAnsi="Verdana" w:cs="Arial"/>
          <w:szCs w:val="22"/>
        </w:rPr>
        <w:t xml:space="preserve"> </w:t>
      </w:r>
      <w:r w:rsidR="00D46162" w:rsidRPr="00D46162">
        <w:rPr>
          <w:rFonts w:ascii="Verdana" w:hAnsi="Verdana" w:cs="Arial"/>
          <w:b/>
          <w:szCs w:val="22"/>
        </w:rPr>
        <w:t>[for example……</w:t>
      </w:r>
    </w:p>
    <w:p w14:paraId="55B7C87C" w14:textId="77550B52" w:rsidR="00D46162" w:rsidRPr="00D46162" w:rsidRDefault="00D46162" w:rsidP="00B04F96">
      <w:pPr>
        <w:pStyle w:val="ListParagraph"/>
        <w:numPr>
          <w:ilvl w:val="0"/>
          <w:numId w:val="7"/>
        </w:numPr>
        <w:spacing w:after="120"/>
        <w:jc w:val="both"/>
        <w:rPr>
          <w:rFonts w:ascii="Verdana" w:hAnsi="Verdana"/>
          <w:b/>
        </w:rPr>
      </w:pPr>
      <w:r w:rsidRPr="00D46162">
        <w:rPr>
          <w:rFonts w:ascii="Verdana" w:hAnsi="Verdana"/>
          <w:b/>
        </w:rPr>
        <w:t xml:space="preserve">There is a higher rate of hip fractures in people age 65+ </w:t>
      </w:r>
    </w:p>
    <w:p w14:paraId="06930D86" w14:textId="1F6D7760" w:rsidR="00D46162" w:rsidRPr="00D46162" w:rsidRDefault="00D46162" w:rsidP="00B04F96">
      <w:pPr>
        <w:pStyle w:val="ListParagraph"/>
        <w:numPr>
          <w:ilvl w:val="0"/>
          <w:numId w:val="7"/>
        </w:numPr>
        <w:spacing w:after="120"/>
        <w:jc w:val="both"/>
        <w:rPr>
          <w:rFonts w:ascii="Verdana" w:hAnsi="Verdana"/>
          <w:b/>
        </w:rPr>
      </w:pPr>
      <w:r w:rsidRPr="00D46162">
        <w:rPr>
          <w:rFonts w:ascii="Verdana" w:hAnsi="Verdana"/>
          <w:b/>
        </w:rPr>
        <w:t>There is a lower proportion of patients age 75+ with fragility fracture treated with bone sparing agent]</w:t>
      </w:r>
    </w:p>
    <w:p w14:paraId="74AA757D" w14:textId="5E5692EE" w:rsidR="009E46A6" w:rsidRDefault="00D46162" w:rsidP="009E46A6">
      <w:pPr>
        <w:spacing w:after="120"/>
        <w:rPr>
          <w:rFonts w:ascii="Verdana" w:hAnsi="Verdana" w:cs="Arial"/>
        </w:rPr>
      </w:pPr>
      <w:r>
        <w:rPr>
          <w:rFonts w:ascii="Verdana" w:hAnsi="Verdana" w:cs="Arial"/>
        </w:rPr>
        <w:t>C</w:t>
      </w:r>
      <w:r w:rsidR="009E46A6" w:rsidRPr="006D09E0">
        <w:rPr>
          <w:rFonts w:ascii="Verdana" w:hAnsi="Verdana" w:cs="Arial"/>
        </w:rPr>
        <w:t xml:space="preserve">ommissioning </w:t>
      </w:r>
      <w:r w:rsidR="00AE2B53">
        <w:rPr>
          <w:rFonts w:ascii="Verdana" w:hAnsi="Verdana" w:cs="Arial"/>
        </w:rPr>
        <w:t>an FLS</w:t>
      </w:r>
      <w:r w:rsidR="009E46A6" w:rsidRPr="006D09E0">
        <w:rPr>
          <w:rFonts w:ascii="Verdana" w:hAnsi="Verdana" w:cs="Arial"/>
        </w:rPr>
        <w:t xml:space="preserve"> will </w:t>
      </w:r>
      <w:r w:rsidR="00E04460">
        <w:rPr>
          <w:rFonts w:ascii="Verdana" w:hAnsi="Verdana" w:cs="Arial"/>
        </w:rPr>
        <w:t xml:space="preserve">help </w:t>
      </w:r>
      <w:r w:rsidR="009E46A6" w:rsidRPr="006D09E0">
        <w:rPr>
          <w:rFonts w:ascii="Verdana" w:hAnsi="Verdana" w:cs="Arial"/>
        </w:rPr>
        <w:t xml:space="preserve">address the opportunities highlighted above.  </w:t>
      </w:r>
    </w:p>
    <w:p w14:paraId="496800D4" w14:textId="77777777" w:rsidR="003C13F2" w:rsidRPr="006D09E0" w:rsidRDefault="003C13F2" w:rsidP="00D714A5">
      <w:pPr>
        <w:pStyle w:val="Heading2"/>
        <w:numPr>
          <w:ilvl w:val="0"/>
          <w:numId w:val="1"/>
        </w:numPr>
        <w:ind w:left="0" w:hanging="426"/>
        <w:rPr>
          <w:rFonts w:ascii="Verdana" w:hAnsi="Verdana"/>
          <w:sz w:val="28"/>
          <w:szCs w:val="28"/>
        </w:rPr>
      </w:pPr>
      <w:r w:rsidRPr="006D09E0">
        <w:rPr>
          <w:rFonts w:ascii="Verdana" w:hAnsi="Verdana"/>
          <w:sz w:val="28"/>
          <w:szCs w:val="28"/>
        </w:rPr>
        <w:t>Local case for change</w:t>
      </w:r>
    </w:p>
    <w:p w14:paraId="35F4A9CC" w14:textId="13328B84" w:rsidR="005A44F6" w:rsidRPr="006D09E0" w:rsidRDefault="005A44F6" w:rsidP="0016055B">
      <w:pPr>
        <w:spacing w:after="120"/>
        <w:rPr>
          <w:rFonts w:ascii="Verdana" w:hAnsi="Verdana" w:cs="Arial"/>
          <w:b/>
          <w:szCs w:val="22"/>
        </w:rPr>
      </w:pPr>
      <w:r w:rsidRPr="006D09E0">
        <w:rPr>
          <w:rFonts w:ascii="Verdana" w:hAnsi="Verdana" w:cs="Arial"/>
          <w:b/>
          <w:szCs w:val="22"/>
        </w:rPr>
        <w:t>[</w:t>
      </w:r>
      <w:r w:rsidR="00CA1A16">
        <w:rPr>
          <w:rFonts w:ascii="Verdana" w:hAnsi="Verdana"/>
          <w:b/>
        </w:rPr>
        <w:t xml:space="preserve">contact the ROS if you need help </w:t>
      </w:r>
      <w:r w:rsidR="009035E7" w:rsidRPr="006D09E0">
        <w:rPr>
          <w:rFonts w:ascii="Verdana" w:hAnsi="Verdana" w:cs="Arial"/>
          <w:b/>
          <w:szCs w:val="22"/>
        </w:rPr>
        <w:t>to calculate the</w:t>
      </w:r>
      <w:r w:rsidR="00641230" w:rsidRPr="006D09E0">
        <w:rPr>
          <w:rFonts w:ascii="Verdana" w:hAnsi="Verdana" w:cs="Arial"/>
          <w:b/>
          <w:szCs w:val="22"/>
        </w:rPr>
        <w:t xml:space="preserve"> estimated</w:t>
      </w:r>
      <w:r w:rsidR="009035E7" w:rsidRPr="006D09E0">
        <w:rPr>
          <w:rFonts w:ascii="Verdana" w:hAnsi="Verdana" w:cs="Arial"/>
          <w:b/>
          <w:szCs w:val="22"/>
        </w:rPr>
        <w:t xml:space="preserve"> number of fractures in your population</w:t>
      </w:r>
      <w:r w:rsidR="00CA1A16">
        <w:rPr>
          <w:rFonts w:ascii="Verdana" w:hAnsi="Verdana" w:cs="Arial"/>
          <w:b/>
          <w:szCs w:val="22"/>
        </w:rPr>
        <w:t xml:space="preserve">, if you </w:t>
      </w:r>
      <w:proofErr w:type="spellStart"/>
      <w:r w:rsidR="00CA1A16">
        <w:rPr>
          <w:rFonts w:ascii="Verdana" w:hAnsi="Verdana" w:cs="Arial"/>
          <w:b/>
          <w:szCs w:val="22"/>
        </w:rPr>
        <w:t>can not</w:t>
      </w:r>
      <w:proofErr w:type="spellEnd"/>
      <w:r w:rsidR="00CA1A16">
        <w:rPr>
          <w:rFonts w:ascii="Verdana" w:hAnsi="Verdana" w:cs="Arial"/>
          <w:b/>
          <w:szCs w:val="22"/>
        </w:rPr>
        <w:t xml:space="preserve"> do this yourself</w:t>
      </w:r>
      <w:r w:rsidRPr="006D09E0">
        <w:rPr>
          <w:rFonts w:ascii="Verdana" w:hAnsi="Verdana" w:cs="Arial"/>
          <w:b/>
          <w:szCs w:val="22"/>
        </w:rPr>
        <w:t>]</w:t>
      </w:r>
    </w:p>
    <w:p w14:paraId="0622B65A" w14:textId="77777777" w:rsidR="009035E7" w:rsidRPr="006D09E0" w:rsidRDefault="009035E7" w:rsidP="0016055B">
      <w:pPr>
        <w:spacing w:after="120"/>
        <w:rPr>
          <w:rFonts w:ascii="Verdana" w:hAnsi="Verdana" w:cs="Arial"/>
          <w:b/>
          <w:szCs w:val="22"/>
        </w:rPr>
      </w:pPr>
      <w:r w:rsidRPr="006D09E0">
        <w:rPr>
          <w:rFonts w:ascii="Verdana" w:hAnsi="Verdana" w:cs="Arial"/>
          <w:b/>
          <w:szCs w:val="22"/>
        </w:rPr>
        <w:t xml:space="preserve">[Insert </w:t>
      </w:r>
      <w:r w:rsidR="00DA794E" w:rsidRPr="006D09E0">
        <w:rPr>
          <w:rFonts w:ascii="Verdana" w:hAnsi="Verdana" w:cs="Arial"/>
          <w:b/>
          <w:szCs w:val="22"/>
        </w:rPr>
        <w:t xml:space="preserve">local </w:t>
      </w:r>
      <w:r w:rsidRPr="006D09E0">
        <w:rPr>
          <w:rFonts w:ascii="Verdana" w:hAnsi="Verdana" w:cs="Arial"/>
          <w:b/>
          <w:szCs w:val="22"/>
        </w:rPr>
        <w:t>information here</w:t>
      </w:r>
      <w:r w:rsidR="00DA794E" w:rsidRPr="006D09E0">
        <w:rPr>
          <w:rFonts w:ascii="Verdana" w:hAnsi="Verdana" w:cs="Arial"/>
          <w:b/>
          <w:szCs w:val="22"/>
        </w:rPr>
        <w:t>, for example</w:t>
      </w:r>
      <w:r w:rsidRPr="006D09E0">
        <w:rPr>
          <w:rFonts w:ascii="Verdana" w:hAnsi="Verdana" w:cs="Arial"/>
          <w:b/>
          <w:szCs w:val="22"/>
        </w:rPr>
        <w:t>:</w:t>
      </w:r>
    </w:p>
    <w:p w14:paraId="7CBA59DB"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 xml:space="preserve">Area to be covered by the </w:t>
      </w:r>
      <w:proofErr w:type="gramStart"/>
      <w:r w:rsidRPr="006D09E0">
        <w:rPr>
          <w:rFonts w:ascii="Verdana" w:hAnsi="Verdana" w:cs="Arial"/>
          <w:b/>
          <w:szCs w:val="22"/>
        </w:rPr>
        <w:t>service</w:t>
      </w:r>
      <w:proofErr w:type="gramEnd"/>
    </w:p>
    <w:p w14:paraId="14162B7C"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Population size including</w:t>
      </w:r>
      <w:r w:rsidR="00DA794E" w:rsidRPr="006D09E0">
        <w:rPr>
          <w:rFonts w:ascii="Verdana" w:hAnsi="Verdana" w:cs="Arial"/>
          <w:b/>
          <w:szCs w:val="22"/>
        </w:rPr>
        <w:t>,</w:t>
      </w:r>
      <w:r w:rsidRPr="006D09E0">
        <w:rPr>
          <w:rFonts w:ascii="Verdana" w:hAnsi="Verdana" w:cs="Arial"/>
          <w:b/>
          <w:szCs w:val="22"/>
        </w:rPr>
        <w:t xml:space="preserve"> if possible</w:t>
      </w:r>
      <w:r w:rsidR="00DA794E" w:rsidRPr="006D09E0">
        <w:rPr>
          <w:rFonts w:ascii="Verdana" w:hAnsi="Verdana" w:cs="Arial"/>
          <w:b/>
          <w:szCs w:val="22"/>
        </w:rPr>
        <w:t>,</w:t>
      </w:r>
      <w:r w:rsidRPr="006D09E0">
        <w:rPr>
          <w:rFonts w:ascii="Verdana" w:hAnsi="Verdana" w:cs="Arial"/>
          <w:b/>
          <w:szCs w:val="22"/>
        </w:rPr>
        <w:t xml:space="preserve"> detail</w:t>
      </w:r>
      <w:r w:rsidR="00DA794E" w:rsidRPr="006D09E0">
        <w:rPr>
          <w:rFonts w:ascii="Verdana" w:hAnsi="Verdana" w:cs="Arial"/>
          <w:b/>
          <w:szCs w:val="22"/>
        </w:rPr>
        <w:t>s</w:t>
      </w:r>
      <w:r w:rsidRPr="006D09E0">
        <w:rPr>
          <w:rFonts w:ascii="Verdana" w:hAnsi="Verdana" w:cs="Arial"/>
          <w:b/>
          <w:szCs w:val="22"/>
        </w:rPr>
        <w:t xml:space="preserve"> o</w:t>
      </w:r>
      <w:r w:rsidR="00DA794E" w:rsidRPr="006D09E0">
        <w:rPr>
          <w:rFonts w:ascii="Verdana" w:hAnsi="Verdana" w:cs="Arial"/>
          <w:b/>
          <w:szCs w:val="22"/>
        </w:rPr>
        <w:t>f</w:t>
      </w:r>
      <w:r w:rsidRPr="006D09E0">
        <w:rPr>
          <w:rFonts w:ascii="Verdana" w:hAnsi="Verdana" w:cs="Arial"/>
          <w:b/>
          <w:szCs w:val="22"/>
        </w:rPr>
        <w:t xml:space="preserve"> the population </w:t>
      </w:r>
      <w:r w:rsidR="00DA794E" w:rsidRPr="006D09E0">
        <w:rPr>
          <w:rFonts w:ascii="Verdana" w:hAnsi="Verdana" w:cs="Arial"/>
          <w:b/>
          <w:szCs w:val="22"/>
        </w:rPr>
        <w:t xml:space="preserve">to be covered by the </w:t>
      </w:r>
      <w:r w:rsidRPr="006D09E0">
        <w:rPr>
          <w:rFonts w:ascii="Verdana" w:hAnsi="Verdana" w:cs="Arial"/>
          <w:b/>
          <w:szCs w:val="22"/>
        </w:rPr>
        <w:t xml:space="preserve">service </w:t>
      </w:r>
      <w:proofErr w:type="gramStart"/>
      <w:r w:rsidRPr="006D09E0">
        <w:rPr>
          <w:rFonts w:ascii="Verdana" w:hAnsi="Verdana" w:cs="Arial"/>
          <w:b/>
          <w:szCs w:val="22"/>
        </w:rPr>
        <w:t>e.g.</w:t>
      </w:r>
      <w:proofErr w:type="gramEnd"/>
      <w:r w:rsidRPr="006D09E0">
        <w:rPr>
          <w:rFonts w:ascii="Verdana" w:hAnsi="Verdana" w:cs="Arial"/>
          <w:b/>
          <w:szCs w:val="22"/>
        </w:rPr>
        <w:t xml:space="preserve"> over 50s</w:t>
      </w:r>
    </w:p>
    <w:p w14:paraId="318EF084"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 xml:space="preserve">Population </w:t>
      </w:r>
      <w:r w:rsidR="00DA794E" w:rsidRPr="006D09E0">
        <w:rPr>
          <w:rFonts w:ascii="Verdana" w:hAnsi="Verdana" w:cs="Arial"/>
          <w:b/>
          <w:szCs w:val="22"/>
        </w:rPr>
        <w:t xml:space="preserve">and demographic trends </w:t>
      </w:r>
    </w:p>
    <w:p w14:paraId="53ADC1D5"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Incidence of fragility fractures</w:t>
      </w:r>
    </w:p>
    <w:p w14:paraId="1A10098D" w14:textId="77777777" w:rsidR="009035E7" w:rsidRPr="006D09E0" w:rsidRDefault="009035E7" w:rsidP="0016055B">
      <w:pPr>
        <w:spacing w:after="120"/>
        <w:rPr>
          <w:rFonts w:ascii="Verdana" w:hAnsi="Verdana" w:cs="Arial"/>
          <w:b/>
          <w:szCs w:val="22"/>
        </w:rPr>
      </w:pPr>
      <w:r w:rsidRPr="006D09E0">
        <w:rPr>
          <w:rFonts w:ascii="Verdana" w:hAnsi="Verdana" w:cs="Arial"/>
          <w:b/>
          <w:szCs w:val="22"/>
        </w:rPr>
        <w:t>Outline key issues and reasons for change. This might include:</w:t>
      </w:r>
    </w:p>
    <w:p w14:paraId="744B315F"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No FLS in place</w:t>
      </w:r>
    </w:p>
    <w:p w14:paraId="03B210D6"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 xml:space="preserve">High or above average number of falls in over </w:t>
      </w:r>
      <w:proofErr w:type="gramStart"/>
      <w:r w:rsidRPr="006D09E0">
        <w:rPr>
          <w:rFonts w:ascii="Verdana" w:hAnsi="Verdana" w:cs="Arial"/>
          <w:b/>
          <w:szCs w:val="22"/>
        </w:rPr>
        <w:t>50s</w:t>
      </w:r>
      <w:proofErr w:type="gramEnd"/>
    </w:p>
    <w:p w14:paraId="613C9704"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Increasing number of fractures occurring in over 50s</w:t>
      </w:r>
    </w:p>
    <w:p w14:paraId="6C7A53E9"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 xml:space="preserve">Lack of coordinated follow up of patients who have experienced a fall and subsequent </w:t>
      </w:r>
      <w:proofErr w:type="gramStart"/>
      <w:r w:rsidRPr="006D09E0">
        <w:rPr>
          <w:rFonts w:ascii="Verdana" w:hAnsi="Verdana" w:cs="Arial"/>
          <w:b/>
          <w:szCs w:val="22"/>
        </w:rPr>
        <w:t>fracture</w:t>
      </w:r>
      <w:proofErr w:type="gramEnd"/>
    </w:p>
    <w:p w14:paraId="2BF1FB38" w14:textId="77777777" w:rsidR="009035E7"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t>High number of recurring fractures</w:t>
      </w:r>
    </w:p>
    <w:p w14:paraId="48EB339A" w14:textId="77777777" w:rsidR="000B505D" w:rsidRPr="006D09E0" w:rsidRDefault="009035E7" w:rsidP="00D714A5">
      <w:pPr>
        <w:numPr>
          <w:ilvl w:val="0"/>
          <w:numId w:val="3"/>
        </w:numPr>
        <w:spacing w:after="120"/>
        <w:ind w:left="426" w:hanging="284"/>
        <w:rPr>
          <w:rFonts w:ascii="Verdana" w:hAnsi="Verdana" w:cs="Arial"/>
          <w:b/>
          <w:szCs w:val="22"/>
        </w:rPr>
      </w:pPr>
      <w:r w:rsidRPr="006D09E0">
        <w:rPr>
          <w:rFonts w:ascii="Verdana" w:hAnsi="Verdana" w:cs="Arial"/>
          <w:b/>
          <w:szCs w:val="22"/>
        </w:rPr>
        <w:lastRenderedPageBreak/>
        <w:t xml:space="preserve">High proportion of patients unable to live independently </w:t>
      </w:r>
      <w:r w:rsidR="00DA794E" w:rsidRPr="006D09E0">
        <w:rPr>
          <w:rFonts w:ascii="Verdana" w:hAnsi="Verdana" w:cs="Arial"/>
          <w:b/>
          <w:szCs w:val="22"/>
        </w:rPr>
        <w:t>following a</w:t>
      </w:r>
      <w:r w:rsidRPr="006D09E0">
        <w:rPr>
          <w:rFonts w:ascii="Verdana" w:hAnsi="Verdana" w:cs="Arial"/>
          <w:b/>
          <w:szCs w:val="22"/>
        </w:rPr>
        <w:t xml:space="preserve"> fall</w:t>
      </w:r>
      <w:r w:rsidR="00DA794E" w:rsidRPr="006D09E0">
        <w:rPr>
          <w:rFonts w:ascii="Verdana" w:hAnsi="Verdana" w:cs="Arial"/>
          <w:b/>
          <w:szCs w:val="22"/>
        </w:rPr>
        <w:t xml:space="preserve"> or previous fracture]</w:t>
      </w:r>
    </w:p>
    <w:p w14:paraId="04EABA26" w14:textId="1144D1B1" w:rsidR="00E1253D" w:rsidRPr="006D09E0" w:rsidRDefault="000B505D" w:rsidP="00D714A5">
      <w:pPr>
        <w:numPr>
          <w:ilvl w:val="0"/>
          <w:numId w:val="3"/>
        </w:numPr>
        <w:spacing w:after="120"/>
        <w:ind w:left="426" w:hanging="284"/>
        <w:rPr>
          <w:rFonts w:ascii="Verdana" w:hAnsi="Verdana" w:cs="Arial"/>
          <w:b/>
          <w:szCs w:val="22"/>
        </w:rPr>
      </w:pPr>
      <w:r w:rsidRPr="006D09E0">
        <w:rPr>
          <w:rFonts w:ascii="Verdana" w:hAnsi="Verdana" w:cs="Arial"/>
          <w:b/>
          <w:szCs w:val="22"/>
        </w:rPr>
        <w:t>C</w:t>
      </w:r>
      <w:r w:rsidR="00E1253D" w:rsidRPr="006D09E0">
        <w:rPr>
          <w:rFonts w:ascii="Verdana" w:hAnsi="Verdana" w:cs="Arial"/>
          <w:b/>
          <w:szCs w:val="22"/>
        </w:rPr>
        <w:t>urrent services and pathways and associated costs</w:t>
      </w:r>
    </w:p>
    <w:p w14:paraId="6187B688" w14:textId="5E846C35" w:rsidR="00032D18" w:rsidRPr="006D09E0" w:rsidRDefault="00E56B38" w:rsidP="00D714A5">
      <w:pPr>
        <w:pStyle w:val="Heading2"/>
        <w:numPr>
          <w:ilvl w:val="0"/>
          <w:numId w:val="1"/>
        </w:numPr>
        <w:ind w:left="0" w:hanging="426"/>
        <w:rPr>
          <w:rFonts w:ascii="Verdana" w:hAnsi="Verdana"/>
          <w:sz w:val="28"/>
          <w:szCs w:val="28"/>
        </w:rPr>
      </w:pPr>
      <w:r w:rsidRPr="006D09E0">
        <w:rPr>
          <w:rFonts w:ascii="Verdana" w:hAnsi="Verdana"/>
          <w:sz w:val="28"/>
          <w:szCs w:val="28"/>
        </w:rPr>
        <w:t xml:space="preserve">Aims and Outcomes </w:t>
      </w:r>
      <w:r w:rsidR="00032D18" w:rsidRPr="006D09E0">
        <w:rPr>
          <w:rFonts w:ascii="Verdana" w:hAnsi="Verdana"/>
          <w:sz w:val="28"/>
          <w:szCs w:val="28"/>
        </w:rPr>
        <w:t xml:space="preserve">of the </w:t>
      </w:r>
      <w:r w:rsidR="00CD78D0" w:rsidRPr="006D09E0">
        <w:rPr>
          <w:rFonts w:ascii="Verdana" w:hAnsi="Verdana"/>
          <w:sz w:val="28"/>
          <w:szCs w:val="28"/>
        </w:rPr>
        <w:t>FLS</w:t>
      </w:r>
      <w:r w:rsidR="00E0101C" w:rsidRPr="006D09E0">
        <w:rPr>
          <w:rFonts w:ascii="Verdana" w:hAnsi="Verdana"/>
          <w:sz w:val="28"/>
          <w:szCs w:val="28"/>
        </w:rPr>
        <w:t xml:space="preserve"> </w:t>
      </w:r>
    </w:p>
    <w:p w14:paraId="14D9161E" w14:textId="77777777" w:rsidR="00331A74" w:rsidRDefault="00331A74" w:rsidP="00331A74">
      <w:pPr>
        <w:spacing w:after="120"/>
        <w:jc w:val="both"/>
        <w:rPr>
          <w:rFonts w:ascii="Verdana" w:hAnsi="Verdana" w:cs="Arial"/>
          <w:szCs w:val="22"/>
        </w:rPr>
      </w:pPr>
      <w:bookmarkStart w:id="6" w:name="_Hlk535585637"/>
      <w:r w:rsidRPr="00BB3B60">
        <w:rPr>
          <w:rFonts w:ascii="Verdana" w:hAnsi="Verdana" w:cs="Arial"/>
          <w:szCs w:val="22"/>
        </w:rPr>
        <w:t>The</w:t>
      </w:r>
      <w:r>
        <w:rPr>
          <w:rFonts w:ascii="Verdana" w:hAnsi="Verdana" w:cs="Arial"/>
          <w:szCs w:val="22"/>
        </w:rPr>
        <w:t xml:space="preserve"> </w:t>
      </w:r>
      <w:r w:rsidRPr="008F245F">
        <w:rPr>
          <w:rFonts w:ascii="Verdana" w:hAnsi="Verdana" w:cs="Arial"/>
          <w:b/>
          <w:bCs/>
          <w:szCs w:val="22"/>
        </w:rPr>
        <w:t>aims</w:t>
      </w:r>
      <w:r w:rsidRPr="00BB3B60">
        <w:rPr>
          <w:rFonts w:ascii="Verdana" w:hAnsi="Verdana" w:cs="Arial"/>
          <w:szCs w:val="22"/>
        </w:rPr>
        <w:t xml:space="preserve"> of the </w:t>
      </w:r>
      <w:r>
        <w:rPr>
          <w:rFonts w:ascii="Verdana" w:hAnsi="Verdana" w:cs="Arial"/>
          <w:szCs w:val="22"/>
        </w:rPr>
        <w:t xml:space="preserve">FLS are: </w:t>
      </w:r>
    </w:p>
    <w:p w14:paraId="67322CA0" w14:textId="60249BC6" w:rsidR="00331A74" w:rsidRPr="003C5397" w:rsidRDefault="00331A74" w:rsidP="00331A74">
      <w:pPr>
        <w:numPr>
          <w:ilvl w:val="0"/>
          <w:numId w:val="2"/>
        </w:numPr>
        <w:spacing w:after="120"/>
        <w:ind w:left="357" w:hanging="357"/>
        <w:jc w:val="both"/>
        <w:rPr>
          <w:rFonts w:ascii="Verdana" w:hAnsi="Verdana" w:cs="Arial"/>
        </w:rPr>
      </w:pPr>
      <w:r w:rsidRPr="003C5397">
        <w:rPr>
          <w:rFonts w:ascii="Verdana" w:hAnsi="Verdana" w:cs="Arial"/>
        </w:rPr>
        <w:t xml:space="preserve">Improve the quality </w:t>
      </w:r>
      <w:r>
        <w:rPr>
          <w:rFonts w:ascii="Verdana" w:hAnsi="Verdana" w:cs="Arial"/>
        </w:rPr>
        <w:t xml:space="preserve">and </w:t>
      </w:r>
      <w:r w:rsidRPr="003C5397">
        <w:rPr>
          <w:rFonts w:ascii="Verdana" w:hAnsi="Verdana" w:cs="Arial"/>
        </w:rPr>
        <w:t>experience for the individual and their family</w:t>
      </w:r>
      <w:r>
        <w:rPr>
          <w:rFonts w:ascii="Verdana" w:hAnsi="Verdana" w:cs="Arial"/>
        </w:rPr>
        <w:t xml:space="preserve"> by ensuring secondary fracture prevention is delivered to agreed national and local </w:t>
      </w:r>
      <w:r w:rsidR="000B25D4">
        <w:rPr>
          <w:rFonts w:ascii="Verdana" w:hAnsi="Verdana" w:cs="Arial"/>
        </w:rPr>
        <w:t>standards.</w:t>
      </w:r>
      <w:r>
        <w:rPr>
          <w:rFonts w:ascii="Verdana" w:hAnsi="Verdana" w:cs="Arial"/>
        </w:rPr>
        <w:t xml:space="preserve"> </w:t>
      </w:r>
    </w:p>
    <w:p w14:paraId="0AE6EB04" w14:textId="7778D717" w:rsidR="00331A74" w:rsidRPr="00451C98" w:rsidRDefault="00331A74" w:rsidP="00331A74">
      <w:pPr>
        <w:numPr>
          <w:ilvl w:val="0"/>
          <w:numId w:val="2"/>
        </w:numPr>
        <w:spacing w:after="120"/>
        <w:ind w:left="357" w:hanging="357"/>
        <w:jc w:val="both"/>
        <w:rPr>
          <w:rFonts w:ascii="Verdana" w:hAnsi="Verdana" w:cs="Arial"/>
        </w:rPr>
      </w:pPr>
      <w:r w:rsidRPr="00451C98">
        <w:rPr>
          <w:rFonts w:ascii="Verdana" w:hAnsi="Verdana" w:cs="Arial"/>
        </w:rPr>
        <w:t>Improve equity of service, with equal access to effective secondary prevention for the whole population</w:t>
      </w:r>
      <w:r w:rsidR="000B25D4">
        <w:rPr>
          <w:rFonts w:ascii="Verdana" w:hAnsi="Verdana" w:cs="Arial"/>
        </w:rPr>
        <w:t>.</w:t>
      </w:r>
    </w:p>
    <w:p w14:paraId="57D2B9B7" w14:textId="71E0773A" w:rsidR="00331A74" w:rsidRPr="00451C98" w:rsidRDefault="00331A74" w:rsidP="00331A74">
      <w:pPr>
        <w:numPr>
          <w:ilvl w:val="0"/>
          <w:numId w:val="2"/>
        </w:numPr>
        <w:spacing w:after="120"/>
        <w:ind w:left="357" w:hanging="357"/>
        <w:jc w:val="both"/>
        <w:rPr>
          <w:rFonts w:ascii="Verdana" w:hAnsi="Verdana" w:cs="Arial"/>
        </w:rPr>
      </w:pPr>
      <w:r w:rsidRPr="00451C98">
        <w:rPr>
          <w:rFonts w:ascii="Verdana" w:hAnsi="Verdana" w:cs="Arial"/>
        </w:rPr>
        <w:t>Increase cost-effectiveness by reducing variation and delivering best practice through locally agreed standardised pathways for bone health interventions for secondary fracture prevention</w:t>
      </w:r>
      <w:r w:rsidR="000B25D4">
        <w:rPr>
          <w:rFonts w:ascii="Verdana" w:hAnsi="Verdana" w:cs="Arial"/>
        </w:rPr>
        <w:t>.</w:t>
      </w:r>
      <w:r w:rsidRPr="00451C98">
        <w:rPr>
          <w:rFonts w:ascii="Verdana" w:hAnsi="Verdana" w:cs="Arial"/>
        </w:rPr>
        <w:t xml:space="preserve"> </w:t>
      </w:r>
    </w:p>
    <w:p w14:paraId="4A2B8356" w14:textId="4B4ADF3C" w:rsidR="00331A74" w:rsidRPr="00451C98" w:rsidRDefault="00331A74" w:rsidP="00331A74">
      <w:pPr>
        <w:numPr>
          <w:ilvl w:val="0"/>
          <w:numId w:val="2"/>
        </w:numPr>
        <w:spacing w:after="120"/>
        <w:ind w:left="357" w:hanging="357"/>
        <w:jc w:val="both"/>
        <w:rPr>
          <w:rFonts w:ascii="Verdana" w:hAnsi="Verdana" w:cs="Arial"/>
        </w:rPr>
      </w:pPr>
      <w:r w:rsidRPr="00451C98">
        <w:rPr>
          <w:rFonts w:ascii="Verdana" w:hAnsi="Verdana" w:cs="Arial"/>
        </w:rPr>
        <w:t>In the long-term, reduce the incidence of fragility fractures</w:t>
      </w:r>
      <w:r w:rsidR="000B25D4">
        <w:rPr>
          <w:rFonts w:ascii="Verdana" w:hAnsi="Verdana" w:cs="Arial"/>
        </w:rPr>
        <w:t>.</w:t>
      </w:r>
    </w:p>
    <w:p w14:paraId="025A5CA1" w14:textId="1262E1AF" w:rsidR="00331A74" w:rsidRPr="00451C98" w:rsidRDefault="00331A74" w:rsidP="00331A74">
      <w:pPr>
        <w:numPr>
          <w:ilvl w:val="0"/>
          <w:numId w:val="2"/>
        </w:numPr>
        <w:spacing w:after="120"/>
        <w:ind w:left="357" w:hanging="357"/>
        <w:jc w:val="both"/>
        <w:rPr>
          <w:rFonts w:ascii="Verdana" w:hAnsi="Verdana" w:cs="Arial"/>
        </w:rPr>
      </w:pPr>
      <w:r>
        <w:rPr>
          <w:rFonts w:ascii="Verdana" w:hAnsi="Verdana" w:cs="Arial"/>
        </w:rPr>
        <w:t>In the long-term, r</w:t>
      </w:r>
      <w:r w:rsidRPr="00451C98">
        <w:rPr>
          <w:rFonts w:ascii="Verdana" w:hAnsi="Verdana" w:cs="Arial"/>
        </w:rPr>
        <w:t>educe costs to the local health economy through effective secondary fracture prevention</w:t>
      </w:r>
      <w:r w:rsidR="000B25D4">
        <w:rPr>
          <w:rFonts w:ascii="Verdana" w:hAnsi="Verdana" w:cs="Arial"/>
        </w:rPr>
        <w:t>.</w:t>
      </w:r>
    </w:p>
    <w:p w14:paraId="5FA02C8E" w14:textId="51EEEA8B" w:rsidR="00331A74" w:rsidRDefault="00331A74" w:rsidP="00331A74">
      <w:pPr>
        <w:spacing w:after="120"/>
        <w:jc w:val="both"/>
        <w:rPr>
          <w:rFonts w:ascii="Verdana" w:hAnsi="Verdana" w:cs="Arial"/>
          <w:szCs w:val="18"/>
        </w:rPr>
      </w:pPr>
      <w:r w:rsidRPr="00A0190C">
        <w:rPr>
          <w:rFonts w:ascii="Verdana" w:hAnsi="Verdana" w:cs="Arial"/>
        </w:rPr>
        <w:t xml:space="preserve">The </w:t>
      </w:r>
      <w:r>
        <w:rPr>
          <w:rFonts w:ascii="Verdana" w:hAnsi="Verdana" w:cs="Arial"/>
          <w:b/>
          <w:bCs/>
        </w:rPr>
        <w:t>o</w:t>
      </w:r>
      <w:r w:rsidRPr="008F245F">
        <w:rPr>
          <w:rFonts w:ascii="Verdana" w:hAnsi="Verdana" w:cs="Arial"/>
          <w:b/>
          <w:bCs/>
        </w:rPr>
        <w:t>bjectives</w:t>
      </w:r>
      <w:r w:rsidRPr="00A0190C">
        <w:rPr>
          <w:rFonts w:ascii="Verdana" w:hAnsi="Verdana" w:cs="Arial"/>
        </w:rPr>
        <w:t xml:space="preserve"> of the FLS</w:t>
      </w:r>
      <w:r>
        <w:rPr>
          <w:rFonts w:ascii="Verdana" w:hAnsi="Verdana" w:cs="Arial"/>
          <w:b/>
          <w:color w:val="009966"/>
          <w:szCs w:val="22"/>
        </w:rPr>
        <w:t xml:space="preserve"> </w:t>
      </w:r>
      <w:r w:rsidRPr="0014513C">
        <w:rPr>
          <w:rFonts w:ascii="Verdana" w:hAnsi="Verdana" w:cs="Arial"/>
        </w:rPr>
        <w:t>are</w:t>
      </w:r>
      <w:r>
        <w:rPr>
          <w:rFonts w:ascii="Verdana" w:hAnsi="Verdana" w:cs="Arial"/>
        </w:rPr>
        <w:t xml:space="preserve"> to deliver care in line with the published </w:t>
      </w:r>
      <w:hyperlink r:id="rId14" w:history="1">
        <w:r w:rsidRPr="00DC62D5">
          <w:rPr>
            <w:rStyle w:val="Hyperlink"/>
            <w:rFonts w:ascii="Verdana" w:hAnsi="Verdana" w:cs="Arial"/>
            <w:szCs w:val="18"/>
          </w:rPr>
          <w:t>Royal Osteoporosis Society Clinical Standards for FLS</w:t>
        </w:r>
      </w:hyperlink>
      <w:r>
        <w:rPr>
          <w:rFonts w:ascii="Verdana" w:hAnsi="Verdana" w:cs="Arial"/>
          <w:szCs w:val="18"/>
        </w:rPr>
        <w:t xml:space="preserve">; shown in the table below: </w:t>
      </w:r>
    </w:p>
    <w:tbl>
      <w:tblPr>
        <w:tblStyle w:val="TableGrid"/>
        <w:tblW w:w="0" w:type="auto"/>
        <w:tblLook w:val="04A0" w:firstRow="1" w:lastRow="0" w:firstColumn="1" w:lastColumn="0" w:noHBand="0" w:noVBand="1"/>
      </w:tblPr>
      <w:tblGrid>
        <w:gridCol w:w="2972"/>
        <w:gridCol w:w="6044"/>
      </w:tblGrid>
      <w:tr w:rsidR="00331A74" w:rsidRPr="009123B9" w14:paraId="6019C734" w14:textId="77777777" w:rsidTr="000543AD">
        <w:tc>
          <w:tcPr>
            <w:tcW w:w="2972" w:type="dxa"/>
            <w:shd w:val="clear" w:color="auto" w:fill="BFBFBF" w:themeFill="background1" w:themeFillShade="BF"/>
          </w:tcPr>
          <w:p w14:paraId="1EDA39E7" w14:textId="77777777" w:rsidR="00331A74" w:rsidRPr="009123B9" w:rsidRDefault="00331A74" w:rsidP="000543AD">
            <w:pPr>
              <w:spacing w:after="120"/>
              <w:jc w:val="both"/>
              <w:rPr>
                <w:rFonts w:ascii="Verdana" w:hAnsi="Verdana" w:cs="Arial"/>
                <w:b/>
                <w:bCs/>
                <w:szCs w:val="22"/>
              </w:rPr>
            </w:pPr>
            <w:r w:rsidRPr="009123B9">
              <w:rPr>
                <w:rFonts w:ascii="Verdana" w:hAnsi="Verdana" w:cs="Arial"/>
                <w:b/>
                <w:bCs/>
                <w:szCs w:val="22"/>
              </w:rPr>
              <w:t>Standard</w:t>
            </w:r>
            <w:r>
              <w:rPr>
                <w:rFonts w:ascii="Verdana" w:hAnsi="Verdana" w:cs="Arial"/>
                <w:b/>
                <w:bCs/>
                <w:szCs w:val="22"/>
              </w:rPr>
              <w:t>/Aim</w:t>
            </w:r>
          </w:p>
        </w:tc>
        <w:tc>
          <w:tcPr>
            <w:tcW w:w="6044" w:type="dxa"/>
            <w:shd w:val="clear" w:color="auto" w:fill="BFBFBF" w:themeFill="background1" w:themeFillShade="BF"/>
          </w:tcPr>
          <w:p w14:paraId="34EC1621" w14:textId="77777777" w:rsidR="00331A74" w:rsidRPr="009123B9" w:rsidRDefault="00331A74" w:rsidP="000543AD">
            <w:pPr>
              <w:spacing w:after="120"/>
              <w:jc w:val="both"/>
              <w:rPr>
                <w:rFonts w:ascii="Verdana" w:hAnsi="Verdana" w:cs="Arial"/>
                <w:b/>
                <w:bCs/>
                <w:szCs w:val="22"/>
              </w:rPr>
            </w:pPr>
            <w:r w:rsidRPr="009123B9">
              <w:rPr>
                <w:rFonts w:ascii="Verdana" w:hAnsi="Verdana" w:cs="Arial"/>
                <w:b/>
                <w:bCs/>
                <w:szCs w:val="22"/>
              </w:rPr>
              <w:t>Criteria</w:t>
            </w:r>
            <w:r>
              <w:rPr>
                <w:rFonts w:ascii="Verdana" w:hAnsi="Verdana" w:cs="Arial"/>
                <w:b/>
                <w:bCs/>
                <w:szCs w:val="22"/>
              </w:rPr>
              <w:t>/Objectives</w:t>
            </w:r>
          </w:p>
        </w:tc>
      </w:tr>
      <w:tr w:rsidR="00331A74" w:rsidRPr="009123B9" w14:paraId="6193386A" w14:textId="77777777" w:rsidTr="000543AD">
        <w:tc>
          <w:tcPr>
            <w:tcW w:w="2972" w:type="dxa"/>
          </w:tcPr>
          <w:p w14:paraId="57FC0036" w14:textId="77777777" w:rsidR="00331A74" w:rsidRPr="009123B9" w:rsidRDefault="00331A74" w:rsidP="000543AD">
            <w:pPr>
              <w:spacing w:after="120"/>
              <w:rPr>
                <w:rFonts w:ascii="Verdana" w:hAnsi="Verdana" w:cs="Arial"/>
                <w:szCs w:val="22"/>
              </w:rPr>
            </w:pPr>
            <w:r w:rsidRPr="009123B9">
              <w:rPr>
                <w:rFonts w:ascii="Verdana" w:hAnsi="Verdana"/>
                <w:b/>
                <w:bCs/>
                <w:szCs w:val="22"/>
              </w:rPr>
              <w:t>1</w:t>
            </w:r>
            <w:r w:rsidRPr="009123B9">
              <w:rPr>
                <w:rFonts w:ascii="Verdana" w:hAnsi="Verdana"/>
                <w:szCs w:val="22"/>
              </w:rPr>
              <w:t xml:space="preserve"> </w:t>
            </w:r>
            <w:r w:rsidRPr="009123B9">
              <w:rPr>
                <w:rFonts w:ascii="Verdana" w:hAnsi="Verdana"/>
                <w:b/>
                <w:bCs/>
                <w:szCs w:val="22"/>
              </w:rPr>
              <w:t>Identify:</w:t>
            </w:r>
            <w:r w:rsidRPr="009123B9">
              <w:rPr>
                <w:rFonts w:ascii="Verdana" w:hAnsi="Verdana"/>
                <w:szCs w:val="22"/>
              </w:rPr>
              <w:t xml:space="preserve"> People aged 50 years and over with a fragility fracture are systematically identified</w:t>
            </w:r>
          </w:p>
        </w:tc>
        <w:tc>
          <w:tcPr>
            <w:tcW w:w="6044" w:type="dxa"/>
          </w:tcPr>
          <w:p w14:paraId="79A10E27" w14:textId="77777777" w:rsidR="00331A74" w:rsidRPr="009123B9" w:rsidRDefault="00331A74" w:rsidP="000543AD">
            <w:pPr>
              <w:spacing w:after="120"/>
              <w:rPr>
                <w:rFonts w:ascii="Verdana" w:hAnsi="Verdana"/>
                <w:szCs w:val="22"/>
              </w:rPr>
            </w:pPr>
            <w:r w:rsidRPr="009123B9">
              <w:rPr>
                <w:rFonts w:ascii="Verdana" w:hAnsi="Verdana"/>
                <w:b/>
                <w:bCs/>
                <w:szCs w:val="22"/>
              </w:rPr>
              <w:t>1.1</w:t>
            </w:r>
            <w:r w:rsidRPr="009123B9">
              <w:rPr>
                <w:rFonts w:ascii="Verdana" w:hAnsi="Verdana"/>
                <w:szCs w:val="22"/>
              </w:rPr>
              <w:t xml:space="preserve"> The FLS identifies people aged 50 years or older with a new fragility fracture which also includes: </w:t>
            </w:r>
          </w:p>
          <w:p w14:paraId="32A8D5A5" w14:textId="77777777" w:rsidR="00331A74" w:rsidRPr="009123B9" w:rsidRDefault="00331A74" w:rsidP="000543AD">
            <w:pPr>
              <w:spacing w:after="120"/>
              <w:rPr>
                <w:rFonts w:ascii="Verdana" w:hAnsi="Verdana"/>
                <w:szCs w:val="22"/>
              </w:rPr>
            </w:pPr>
            <w:r w:rsidRPr="009123B9">
              <w:rPr>
                <w:rFonts w:ascii="Verdana" w:hAnsi="Verdana"/>
                <w:szCs w:val="22"/>
              </w:rPr>
              <w:t xml:space="preserve">• Newly identified vertebral fracture. </w:t>
            </w:r>
          </w:p>
          <w:p w14:paraId="1218EEF0" w14:textId="77777777" w:rsidR="00331A74" w:rsidRPr="009123B9" w:rsidRDefault="00331A74" w:rsidP="000543AD">
            <w:pPr>
              <w:spacing w:after="120"/>
              <w:rPr>
                <w:rFonts w:ascii="Verdana" w:hAnsi="Verdana" w:cs="Arial"/>
                <w:szCs w:val="22"/>
              </w:rPr>
            </w:pPr>
            <w:r w:rsidRPr="009123B9">
              <w:rPr>
                <w:rFonts w:ascii="Verdana" w:hAnsi="Verdana"/>
                <w:szCs w:val="22"/>
              </w:rPr>
              <w:t>• A new fracture occurring whilst a patient is taking an osteoporosis drug treatment.</w:t>
            </w:r>
          </w:p>
        </w:tc>
      </w:tr>
      <w:tr w:rsidR="00331A74" w:rsidRPr="009123B9" w14:paraId="437F71FA" w14:textId="77777777" w:rsidTr="000543AD">
        <w:tc>
          <w:tcPr>
            <w:tcW w:w="2972" w:type="dxa"/>
          </w:tcPr>
          <w:p w14:paraId="67E8226E" w14:textId="77777777" w:rsidR="00331A74" w:rsidRPr="009123B9" w:rsidRDefault="00331A74" w:rsidP="000543AD">
            <w:pPr>
              <w:spacing w:after="120"/>
              <w:rPr>
                <w:rFonts w:ascii="Verdana" w:hAnsi="Verdana" w:cs="Arial"/>
                <w:szCs w:val="22"/>
              </w:rPr>
            </w:pPr>
            <w:r w:rsidRPr="009123B9">
              <w:rPr>
                <w:rFonts w:ascii="Verdana" w:hAnsi="Verdana"/>
                <w:b/>
                <w:bCs/>
                <w:szCs w:val="22"/>
              </w:rPr>
              <w:t>2</w:t>
            </w:r>
            <w:r>
              <w:rPr>
                <w:rFonts w:ascii="Verdana" w:hAnsi="Verdana"/>
                <w:b/>
                <w:bCs/>
                <w:szCs w:val="22"/>
              </w:rPr>
              <w:t xml:space="preserve"> </w:t>
            </w:r>
            <w:r w:rsidRPr="009123B9">
              <w:rPr>
                <w:rFonts w:ascii="Verdana" w:hAnsi="Verdana"/>
                <w:b/>
                <w:bCs/>
                <w:szCs w:val="22"/>
              </w:rPr>
              <w:t>Investigate:</w:t>
            </w:r>
            <w:r w:rsidRPr="009123B9">
              <w:rPr>
                <w:rFonts w:ascii="Verdana" w:hAnsi="Verdana"/>
                <w:szCs w:val="22"/>
              </w:rPr>
              <w:t xml:space="preserve"> Investigations to assess risk of fragility fractures and falls and possible underlying secondary causes for osteoporosis are offered to people identified by the FLS. </w:t>
            </w:r>
          </w:p>
        </w:tc>
        <w:tc>
          <w:tcPr>
            <w:tcW w:w="6044" w:type="dxa"/>
          </w:tcPr>
          <w:p w14:paraId="4F7DD3B1" w14:textId="77777777" w:rsidR="00331A74" w:rsidRPr="009123B9" w:rsidRDefault="00331A74" w:rsidP="000543AD">
            <w:pPr>
              <w:spacing w:after="120"/>
              <w:rPr>
                <w:rFonts w:ascii="Verdana" w:hAnsi="Verdana"/>
                <w:szCs w:val="22"/>
              </w:rPr>
            </w:pPr>
            <w:r w:rsidRPr="009123B9">
              <w:rPr>
                <w:rFonts w:ascii="Verdana" w:hAnsi="Verdana"/>
                <w:b/>
                <w:bCs/>
                <w:szCs w:val="22"/>
              </w:rPr>
              <w:t>2. 1</w:t>
            </w:r>
            <w:r w:rsidRPr="009123B9">
              <w:rPr>
                <w:rFonts w:ascii="Verdana" w:hAnsi="Verdana"/>
                <w:szCs w:val="22"/>
              </w:rPr>
              <w:t xml:space="preserve"> People identified as being at increased risk of another fragility fracture are offered an assessment which will include: </w:t>
            </w:r>
          </w:p>
          <w:p w14:paraId="292EFF33" w14:textId="77777777" w:rsidR="00331A74" w:rsidRPr="009123B9" w:rsidRDefault="00331A74" w:rsidP="000543AD">
            <w:pPr>
              <w:spacing w:after="120"/>
              <w:rPr>
                <w:rFonts w:ascii="Verdana" w:hAnsi="Verdana"/>
                <w:szCs w:val="22"/>
              </w:rPr>
            </w:pPr>
            <w:r w:rsidRPr="009123B9">
              <w:rPr>
                <w:rFonts w:ascii="Verdana" w:hAnsi="Verdana"/>
                <w:szCs w:val="22"/>
              </w:rPr>
              <w:t xml:space="preserve">• A fracture risk assessment including use of FRAX or </w:t>
            </w:r>
            <w:proofErr w:type="spellStart"/>
            <w:r w:rsidRPr="009123B9">
              <w:rPr>
                <w:rFonts w:ascii="Verdana" w:hAnsi="Verdana"/>
                <w:szCs w:val="22"/>
              </w:rPr>
              <w:t>QFracture</w:t>
            </w:r>
            <w:proofErr w:type="spellEnd"/>
            <w:r w:rsidRPr="009123B9">
              <w:rPr>
                <w:rFonts w:ascii="Verdana" w:hAnsi="Verdana"/>
                <w:szCs w:val="22"/>
              </w:rPr>
              <w:t xml:space="preserve"> and quality</w:t>
            </w:r>
            <w:r>
              <w:rPr>
                <w:rFonts w:ascii="Verdana" w:hAnsi="Verdana"/>
                <w:szCs w:val="22"/>
              </w:rPr>
              <w:t xml:space="preserve"> </w:t>
            </w:r>
            <w:r w:rsidRPr="009123B9">
              <w:rPr>
                <w:rFonts w:ascii="Verdana" w:hAnsi="Verdana"/>
                <w:szCs w:val="22"/>
              </w:rPr>
              <w:t xml:space="preserve">assured axial DXA including a vertebral fracture assessment (VFA) where indicated. </w:t>
            </w:r>
          </w:p>
          <w:p w14:paraId="0B010F76" w14:textId="77777777" w:rsidR="00331A74" w:rsidRPr="009123B9" w:rsidRDefault="00331A74" w:rsidP="000543AD">
            <w:pPr>
              <w:spacing w:after="120"/>
              <w:rPr>
                <w:rFonts w:ascii="Verdana" w:hAnsi="Verdana"/>
                <w:szCs w:val="22"/>
              </w:rPr>
            </w:pPr>
            <w:r w:rsidRPr="009123B9">
              <w:rPr>
                <w:rFonts w:ascii="Verdana" w:hAnsi="Verdana"/>
                <w:szCs w:val="22"/>
              </w:rPr>
              <w:t xml:space="preserve">• An assessment of falls risk in people aged 65 or over. </w:t>
            </w:r>
          </w:p>
          <w:p w14:paraId="42BAE3BB" w14:textId="77777777" w:rsidR="00331A74" w:rsidRPr="009123B9" w:rsidRDefault="00331A74" w:rsidP="000543AD">
            <w:pPr>
              <w:spacing w:after="120"/>
              <w:rPr>
                <w:rFonts w:ascii="Verdana" w:hAnsi="Verdana"/>
                <w:szCs w:val="22"/>
              </w:rPr>
            </w:pPr>
            <w:r w:rsidRPr="009123B9">
              <w:rPr>
                <w:rFonts w:ascii="Verdana" w:hAnsi="Verdana"/>
                <w:szCs w:val="22"/>
              </w:rPr>
              <w:t xml:space="preserve">• Relevant laboratory and imaging investigations to identify any underlying secondary causes of osteoporosis and help inform drug treatment decisions. </w:t>
            </w:r>
          </w:p>
          <w:p w14:paraId="16BF49D0" w14:textId="77777777" w:rsidR="00331A74" w:rsidRPr="009123B9" w:rsidRDefault="00331A74" w:rsidP="000543AD">
            <w:pPr>
              <w:spacing w:after="120"/>
              <w:rPr>
                <w:rFonts w:ascii="Verdana" w:hAnsi="Verdana" w:cs="Arial"/>
                <w:szCs w:val="22"/>
              </w:rPr>
            </w:pPr>
            <w:r w:rsidRPr="009123B9">
              <w:rPr>
                <w:rFonts w:ascii="Verdana" w:hAnsi="Verdana"/>
                <w:b/>
                <w:bCs/>
                <w:szCs w:val="22"/>
              </w:rPr>
              <w:t>2.2.</w:t>
            </w:r>
            <w:r w:rsidRPr="009123B9">
              <w:rPr>
                <w:rFonts w:ascii="Verdana" w:hAnsi="Verdana"/>
                <w:szCs w:val="22"/>
              </w:rPr>
              <w:t xml:space="preserve"> Assessment will be completed within 12 weeks of fracture diagnosis.</w:t>
            </w:r>
          </w:p>
        </w:tc>
      </w:tr>
      <w:tr w:rsidR="00331A74" w:rsidRPr="009123B9" w14:paraId="3C7BB438" w14:textId="77777777" w:rsidTr="000543AD">
        <w:tc>
          <w:tcPr>
            <w:tcW w:w="2972" w:type="dxa"/>
          </w:tcPr>
          <w:p w14:paraId="0B444D41" w14:textId="77777777" w:rsidR="00331A74" w:rsidRPr="009123B9" w:rsidRDefault="00331A74" w:rsidP="000543AD">
            <w:pPr>
              <w:spacing w:after="120"/>
              <w:rPr>
                <w:rFonts w:ascii="Verdana" w:hAnsi="Verdana" w:cs="Arial"/>
                <w:szCs w:val="22"/>
              </w:rPr>
            </w:pPr>
            <w:r w:rsidRPr="009123B9">
              <w:rPr>
                <w:rFonts w:ascii="Verdana" w:hAnsi="Verdana"/>
                <w:b/>
                <w:bCs/>
                <w:szCs w:val="22"/>
              </w:rPr>
              <w:t>3</w:t>
            </w:r>
            <w:r w:rsidRPr="009123B9">
              <w:rPr>
                <w:rFonts w:ascii="Verdana" w:hAnsi="Verdana"/>
                <w:szCs w:val="22"/>
              </w:rPr>
              <w:t xml:space="preserve"> </w:t>
            </w:r>
            <w:r w:rsidRPr="009123B9">
              <w:rPr>
                <w:rFonts w:ascii="Verdana" w:hAnsi="Verdana"/>
                <w:b/>
                <w:bCs/>
                <w:szCs w:val="22"/>
              </w:rPr>
              <w:t>Inform:</w:t>
            </w:r>
            <w:r w:rsidRPr="009123B9">
              <w:rPr>
                <w:rFonts w:ascii="Verdana" w:hAnsi="Verdana"/>
                <w:szCs w:val="22"/>
              </w:rPr>
              <w:t xml:space="preserve"> Information and support are offered to people (and where </w:t>
            </w:r>
            <w:r w:rsidRPr="009123B9">
              <w:rPr>
                <w:rFonts w:ascii="Verdana" w:hAnsi="Verdana"/>
                <w:szCs w:val="22"/>
              </w:rPr>
              <w:lastRenderedPageBreak/>
              <w:t>relevant their carers) using the FLS.</w:t>
            </w:r>
          </w:p>
        </w:tc>
        <w:tc>
          <w:tcPr>
            <w:tcW w:w="6044" w:type="dxa"/>
          </w:tcPr>
          <w:p w14:paraId="56546A63" w14:textId="77777777" w:rsidR="00331A74" w:rsidRPr="009123B9" w:rsidRDefault="00331A74" w:rsidP="000543AD">
            <w:pPr>
              <w:spacing w:after="120"/>
              <w:rPr>
                <w:rFonts w:ascii="Verdana" w:hAnsi="Verdana"/>
                <w:szCs w:val="22"/>
              </w:rPr>
            </w:pPr>
            <w:r w:rsidRPr="009123B9">
              <w:rPr>
                <w:rFonts w:ascii="Verdana" w:hAnsi="Verdana"/>
                <w:b/>
                <w:bCs/>
                <w:szCs w:val="22"/>
              </w:rPr>
              <w:lastRenderedPageBreak/>
              <w:t>3.1.</w:t>
            </w:r>
            <w:r w:rsidRPr="009123B9">
              <w:rPr>
                <w:rFonts w:ascii="Verdana" w:hAnsi="Verdana"/>
                <w:szCs w:val="22"/>
              </w:rPr>
              <w:t xml:space="preserve"> People are offered information according to their needs about: </w:t>
            </w:r>
          </w:p>
          <w:p w14:paraId="7F824582" w14:textId="77777777" w:rsidR="00331A74" w:rsidRPr="009123B9" w:rsidRDefault="00331A74" w:rsidP="000543AD">
            <w:pPr>
              <w:spacing w:after="120"/>
              <w:rPr>
                <w:rFonts w:ascii="Verdana" w:hAnsi="Verdana"/>
                <w:szCs w:val="22"/>
              </w:rPr>
            </w:pPr>
            <w:r w:rsidRPr="009123B9">
              <w:rPr>
                <w:rFonts w:ascii="Verdana" w:hAnsi="Verdana"/>
                <w:szCs w:val="22"/>
              </w:rPr>
              <w:t xml:space="preserve">• Osteoporosis and risk factors for fracture. </w:t>
            </w:r>
          </w:p>
          <w:p w14:paraId="43B17B7F" w14:textId="77777777" w:rsidR="00331A74" w:rsidRPr="009123B9" w:rsidRDefault="00331A74" w:rsidP="000543AD">
            <w:pPr>
              <w:spacing w:after="120"/>
              <w:rPr>
                <w:rFonts w:ascii="Verdana" w:hAnsi="Verdana"/>
                <w:szCs w:val="22"/>
              </w:rPr>
            </w:pPr>
            <w:r w:rsidRPr="009123B9">
              <w:rPr>
                <w:rFonts w:ascii="Verdana" w:hAnsi="Verdana"/>
                <w:szCs w:val="22"/>
              </w:rPr>
              <w:lastRenderedPageBreak/>
              <w:t xml:space="preserve">• Lifestyle interventions aimed at reducing fracture risk including nutrition and exercise. </w:t>
            </w:r>
          </w:p>
          <w:p w14:paraId="0ADB86F0" w14:textId="77777777" w:rsidR="00331A74" w:rsidRPr="009123B9" w:rsidRDefault="00331A74" w:rsidP="000543AD">
            <w:pPr>
              <w:spacing w:after="120"/>
              <w:rPr>
                <w:rFonts w:ascii="Verdana" w:hAnsi="Verdana"/>
                <w:szCs w:val="22"/>
              </w:rPr>
            </w:pPr>
            <w:r w:rsidRPr="009123B9">
              <w:rPr>
                <w:rFonts w:ascii="Verdana" w:hAnsi="Verdana"/>
                <w:szCs w:val="22"/>
              </w:rPr>
              <w:t xml:space="preserve">• Coping with pain and any disability associated with their fracture. </w:t>
            </w:r>
          </w:p>
          <w:p w14:paraId="22D469D3" w14:textId="77777777" w:rsidR="00331A74" w:rsidRPr="009123B9" w:rsidRDefault="00331A74" w:rsidP="000543AD">
            <w:pPr>
              <w:spacing w:after="120"/>
              <w:rPr>
                <w:rFonts w:ascii="Verdana" w:hAnsi="Verdana"/>
                <w:szCs w:val="22"/>
              </w:rPr>
            </w:pPr>
            <w:r w:rsidRPr="009123B9">
              <w:rPr>
                <w:rFonts w:ascii="Verdana" w:hAnsi="Verdana"/>
                <w:szCs w:val="22"/>
              </w:rPr>
              <w:t xml:space="preserve">• Drug treatment options for osteoporosis - including information on benefits and side effects. </w:t>
            </w:r>
          </w:p>
          <w:p w14:paraId="49EC85D0" w14:textId="77777777" w:rsidR="00331A74" w:rsidRPr="009123B9" w:rsidRDefault="00331A74" w:rsidP="000543AD">
            <w:pPr>
              <w:spacing w:after="120"/>
              <w:rPr>
                <w:rFonts w:ascii="Verdana" w:hAnsi="Verdana"/>
                <w:szCs w:val="22"/>
              </w:rPr>
            </w:pPr>
            <w:r w:rsidRPr="009123B9">
              <w:rPr>
                <w:rFonts w:ascii="Verdana" w:hAnsi="Verdana"/>
                <w:szCs w:val="22"/>
              </w:rPr>
              <w:t xml:space="preserve">• Reducing falls risk. </w:t>
            </w:r>
          </w:p>
          <w:p w14:paraId="11D66551" w14:textId="77777777" w:rsidR="00331A74" w:rsidRPr="009123B9" w:rsidRDefault="00331A74" w:rsidP="000543AD">
            <w:pPr>
              <w:spacing w:after="120"/>
              <w:rPr>
                <w:rFonts w:ascii="Verdana" w:hAnsi="Verdana"/>
                <w:szCs w:val="22"/>
              </w:rPr>
            </w:pPr>
            <w:r w:rsidRPr="009123B9">
              <w:rPr>
                <w:rFonts w:ascii="Verdana" w:hAnsi="Verdana"/>
                <w:szCs w:val="22"/>
              </w:rPr>
              <w:t xml:space="preserve">• Next steps in their care plan including follow-up appointments. </w:t>
            </w:r>
          </w:p>
          <w:p w14:paraId="68F9855A" w14:textId="77777777" w:rsidR="00331A74" w:rsidRPr="009123B9" w:rsidRDefault="00331A74" w:rsidP="000543AD">
            <w:pPr>
              <w:spacing w:after="120"/>
              <w:rPr>
                <w:rFonts w:ascii="Verdana" w:hAnsi="Verdana"/>
                <w:szCs w:val="22"/>
              </w:rPr>
            </w:pPr>
            <w:r w:rsidRPr="009123B9">
              <w:rPr>
                <w:rFonts w:ascii="Verdana" w:hAnsi="Verdana"/>
                <w:b/>
                <w:bCs/>
                <w:szCs w:val="22"/>
              </w:rPr>
              <w:t>3.2.</w:t>
            </w:r>
            <w:r w:rsidRPr="009123B9">
              <w:rPr>
                <w:rFonts w:ascii="Verdana" w:hAnsi="Verdana"/>
                <w:szCs w:val="22"/>
              </w:rPr>
              <w:t xml:space="preserve"> Information is available in a range of formats and languages, appropriate to the population covered by the service. </w:t>
            </w:r>
          </w:p>
          <w:p w14:paraId="477DBEFD" w14:textId="77777777" w:rsidR="00331A74" w:rsidRDefault="00331A74" w:rsidP="000543AD">
            <w:pPr>
              <w:spacing w:after="120"/>
              <w:rPr>
                <w:rFonts w:ascii="Verdana" w:hAnsi="Verdana"/>
                <w:szCs w:val="22"/>
              </w:rPr>
            </w:pPr>
            <w:r w:rsidRPr="009123B9">
              <w:rPr>
                <w:rFonts w:ascii="Verdana" w:hAnsi="Verdana"/>
                <w:b/>
                <w:bCs/>
                <w:szCs w:val="22"/>
              </w:rPr>
              <w:t>3.3.</w:t>
            </w:r>
            <w:r w:rsidRPr="009123B9">
              <w:rPr>
                <w:rFonts w:ascii="Verdana" w:hAnsi="Verdana"/>
                <w:szCs w:val="22"/>
              </w:rPr>
              <w:t xml:space="preserve"> People and their carers understand where to get further information about osteoporosis and support following their appointment. </w:t>
            </w:r>
          </w:p>
          <w:p w14:paraId="3E14BBF6" w14:textId="77777777" w:rsidR="00331A74" w:rsidRPr="009123B9" w:rsidRDefault="00331A74" w:rsidP="000543AD">
            <w:pPr>
              <w:spacing w:after="120"/>
              <w:rPr>
                <w:rFonts w:ascii="Verdana" w:hAnsi="Verdana" w:cs="Arial"/>
                <w:szCs w:val="22"/>
              </w:rPr>
            </w:pPr>
            <w:r w:rsidRPr="009123B9">
              <w:rPr>
                <w:rFonts w:ascii="Verdana" w:hAnsi="Verdana"/>
                <w:b/>
                <w:bCs/>
                <w:szCs w:val="22"/>
              </w:rPr>
              <w:t>3.4.</w:t>
            </w:r>
            <w:r w:rsidRPr="009123B9">
              <w:rPr>
                <w:rFonts w:ascii="Verdana" w:hAnsi="Verdana"/>
                <w:szCs w:val="22"/>
              </w:rPr>
              <w:t xml:space="preserve"> Communications from the FLS are written in a style that can be understood by the person and their </w:t>
            </w:r>
            <w:proofErr w:type="spellStart"/>
            <w:r w:rsidRPr="009123B9">
              <w:rPr>
                <w:rFonts w:ascii="Verdana" w:hAnsi="Verdana"/>
                <w:szCs w:val="22"/>
              </w:rPr>
              <w:t>carers</w:t>
            </w:r>
            <w:proofErr w:type="spellEnd"/>
            <w:r w:rsidRPr="009123B9">
              <w:rPr>
                <w:rFonts w:ascii="Verdana" w:hAnsi="Verdana"/>
                <w:szCs w:val="22"/>
              </w:rPr>
              <w:t>. Communications are copied to the person who has had a fracture as well as the healthcare professionals involved in their care, including their GP. People feel supported and empowered to make informed choices and reach shared decisions about their management plan.</w:t>
            </w:r>
          </w:p>
        </w:tc>
      </w:tr>
      <w:tr w:rsidR="00331A74" w:rsidRPr="009123B9" w14:paraId="0FF8DCE1" w14:textId="77777777" w:rsidTr="000543AD">
        <w:tc>
          <w:tcPr>
            <w:tcW w:w="2972" w:type="dxa"/>
          </w:tcPr>
          <w:p w14:paraId="70BD98BD" w14:textId="77777777" w:rsidR="00331A74" w:rsidRPr="009123B9" w:rsidRDefault="00331A74" w:rsidP="000543AD">
            <w:pPr>
              <w:spacing w:after="120"/>
              <w:rPr>
                <w:rFonts w:ascii="Verdana" w:hAnsi="Verdana" w:cs="Arial"/>
                <w:szCs w:val="22"/>
              </w:rPr>
            </w:pPr>
            <w:r w:rsidRPr="009123B9">
              <w:rPr>
                <w:rFonts w:ascii="Verdana" w:hAnsi="Verdana"/>
                <w:b/>
                <w:bCs/>
                <w:szCs w:val="22"/>
              </w:rPr>
              <w:lastRenderedPageBreak/>
              <w:t>4 Intervene:</w:t>
            </w:r>
            <w:r w:rsidRPr="009123B9">
              <w:rPr>
                <w:rFonts w:ascii="Verdana" w:hAnsi="Verdana"/>
                <w:szCs w:val="22"/>
              </w:rPr>
              <w:t xml:space="preserve"> Interventions to reduce the risk of fragility fractures are offered to people as required.</w:t>
            </w:r>
          </w:p>
        </w:tc>
        <w:tc>
          <w:tcPr>
            <w:tcW w:w="6044" w:type="dxa"/>
          </w:tcPr>
          <w:p w14:paraId="3499870B" w14:textId="77777777" w:rsidR="00331A74" w:rsidRPr="009123B9" w:rsidRDefault="00331A74" w:rsidP="000543AD">
            <w:pPr>
              <w:spacing w:after="120"/>
              <w:rPr>
                <w:rFonts w:ascii="Verdana" w:hAnsi="Verdana"/>
                <w:szCs w:val="22"/>
              </w:rPr>
            </w:pPr>
            <w:r w:rsidRPr="009123B9">
              <w:rPr>
                <w:rFonts w:ascii="Verdana" w:hAnsi="Verdana"/>
                <w:b/>
                <w:bCs/>
                <w:szCs w:val="22"/>
              </w:rPr>
              <w:t>4.1.</w:t>
            </w:r>
            <w:r w:rsidRPr="009123B9">
              <w:rPr>
                <w:rFonts w:ascii="Verdana" w:hAnsi="Verdana"/>
                <w:szCs w:val="22"/>
              </w:rPr>
              <w:t xml:space="preserve"> People at high risk of fragility fracture are initiated on an appropriate osteoporosis drug treatment within 16 weeks of fracture diagnosis (</w:t>
            </w:r>
            <w:proofErr w:type="gramStart"/>
            <w:r w:rsidRPr="009123B9">
              <w:rPr>
                <w:rFonts w:ascii="Verdana" w:hAnsi="Verdana"/>
                <w:szCs w:val="22"/>
              </w:rPr>
              <w:t>i.e.</w:t>
            </w:r>
            <w:proofErr w:type="gramEnd"/>
            <w:r w:rsidRPr="009123B9">
              <w:rPr>
                <w:rFonts w:ascii="Verdana" w:hAnsi="Verdana"/>
                <w:szCs w:val="22"/>
              </w:rPr>
              <w:t xml:space="preserve"> within 4 weeks of the assessment being completed). </w:t>
            </w:r>
          </w:p>
          <w:p w14:paraId="00DE788F" w14:textId="77777777" w:rsidR="00331A74" w:rsidRPr="009123B9" w:rsidRDefault="00331A74" w:rsidP="000543AD">
            <w:pPr>
              <w:spacing w:after="120"/>
              <w:rPr>
                <w:rFonts w:ascii="Verdana" w:hAnsi="Verdana"/>
                <w:szCs w:val="22"/>
              </w:rPr>
            </w:pPr>
            <w:r w:rsidRPr="009123B9">
              <w:rPr>
                <w:rFonts w:ascii="Verdana" w:hAnsi="Verdana"/>
                <w:b/>
                <w:bCs/>
                <w:szCs w:val="22"/>
              </w:rPr>
              <w:t>4.2.</w:t>
            </w:r>
            <w:r w:rsidRPr="009123B9">
              <w:rPr>
                <w:rFonts w:ascii="Verdana" w:hAnsi="Verdana"/>
                <w:szCs w:val="22"/>
              </w:rPr>
              <w:t xml:space="preserve"> People at high risk of falling are referred to falls prevention services and offered interventions within 16 weeks of their fracture to maximise balance and mobility. </w:t>
            </w:r>
          </w:p>
          <w:p w14:paraId="71C3A4F8" w14:textId="77777777" w:rsidR="00331A74" w:rsidRPr="009123B9" w:rsidRDefault="00331A74" w:rsidP="000543AD">
            <w:pPr>
              <w:spacing w:after="120"/>
              <w:rPr>
                <w:rFonts w:ascii="Verdana" w:hAnsi="Verdana"/>
                <w:szCs w:val="22"/>
              </w:rPr>
            </w:pPr>
            <w:r w:rsidRPr="009123B9">
              <w:rPr>
                <w:rFonts w:ascii="Verdana" w:hAnsi="Verdana"/>
                <w:b/>
                <w:bCs/>
                <w:szCs w:val="22"/>
              </w:rPr>
              <w:t>4.3.</w:t>
            </w:r>
            <w:r w:rsidRPr="009123B9">
              <w:rPr>
                <w:rFonts w:ascii="Verdana" w:hAnsi="Verdana"/>
                <w:szCs w:val="22"/>
              </w:rPr>
              <w:t xml:space="preserve"> People who are recommended interventions to reduce risk of fracture will be reviewed by the FLS within 16 weeks of fracture and at 52 weeks to ensure: </w:t>
            </w:r>
          </w:p>
          <w:p w14:paraId="799C9F93" w14:textId="77777777" w:rsidR="00331A74" w:rsidRPr="009123B9" w:rsidRDefault="00331A74" w:rsidP="000543AD">
            <w:pPr>
              <w:spacing w:after="120"/>
              <w:rPr>
                <w:rFonts w:ascii="Verdana" w:hAnsi="Verdana"/>
                <w:szCs w:val="22"/>
              </w:rPr>
            </w:pPr>
            <w:r w:rsidRPr="009123B9">
              <w:rPr>
                <w:rFonts w:ascii="Verdana" w:hAnsi="Verdana"/>
                <w:szCs w:val="22"/>
              </w:rPr>
              <w:t xml:space="preserve">• Treatment has been started and taken appropriately. </w:t>
            </w:r>
          </w:p>
          <w:p w14:paraId="08A2BBEC" w14:textId="77777777" w:rsidR="00331A74" w:rsidRDefault="00331A74" w:rsidP="000543AD">
            <w:pPr>
              <w:spacing w:after="120"/>
              <w:rPr>
                <w:rFonts w:ascii="Verdana" w:hAnsi="Verdana"/>
                <w:szCs w:val="22"/>
              </w:rPr>
            </w:pPr>
            <w:r w:rsidRPr="009123B9">
              <w:rPr>
                <w:rFonts w:ascii="Verdana" w:hAnsi="Verdana"/>
                <w:szCs w:val="22"/>
              </w:rPr>
              <w:t>• Referral to falls reduction programmes has been actioned.</w:t>
            </w:r>
          </w:p>
          <w:p w14:paraId="66100767" w14:textId="77777777" w:rsidR="00331A74" w:rsidRPr="009123B9" w:rsidRDefault="00331A74" w:rsidP="000543AD">
            <w:pPr>
              <w:spacing w:after="120"/>
              <w:rPr>
                <w:rFonts w:ascii="Verdana" w:hAnsi="Verdana" w:cs="Arial"/>
                <w:b/>
                <w:bCs/>
                <w:szCs w:val="22"/>
              </w:rPr>
            </w:pPr>
            <w:r w:rsidRPr="009123B9">
              <w:rPr>
                <w:rFonts w:ascii="Verdana" w:hAnsi="Verdana" w:cs="Arial"/>
                <w:b/>
                <w:bCs/>
                <w:szCs w:val="22"/>
              </w:rPr>
              <w:t>[Local methods for follow up to be agreed; it is usually a telephone call]</w:t>
            </w:r>
          </w:p>
        </w:tc>
      </w:tr>
      <w:tr w:rsidR="00331A74" w:rsidRPr="009123B9" w14:paraId="274D2CAF" w14:textId="77777777" w:rsidTr="000543AD">
        <w:tc>
          <w:tcPr>
            <w:tcW w:w="2972" w:type="dxa"/>
          </w:tcPr>
          <w:p w14:paraId="593E4AC6" w14:textId="77777777" w:rsidR="00331A74" w:rsidRPr="009123B9" w:rsidRDefault="00331A74" w:rsidP="000543AD">
            <w:pPr>
              <w:spacing w:after="120"/>
              <w:rPr>
                <w:rFonts w:ascii="Verdana" w:hAnsi="Verdana" w:cs="Arial"/>
                <w:szCs w:val="22"/>
              </w:rPr>
            </w:pPr>
            <w:r w:rsidRPr="009123B9">
              <w:rPr>
                <w:rFonts w:ascii="Verdana" w:hAnsi="Verdana"/>
                <w:b/>
                <w:bCs/>
                <w:szCs w:val="22"/>
              </w:rPr>
              <w:t>5 Integrate:</w:t>
            </w:r>
            <w:r w:rsidRPr="009123B9">
              <w:rPr>
                <w:rFonts w:ascii="Verdana" w:hAnsi="Verdana"/>
                <w:szCs w:val="22"/>
              </w:rPr>
              <w:t xml:space="preserve"> The FLS will integrate with the wider healthcare system </w:t>
            </w:r>
            <w:r w:rsidRPr="009123B9">
              <w:rPr>
                <w:rFonts w:ascii="Verdana" w:hAnsi="Verdana"/>
                <w:szCs w:val="22"/>
              </w:rPr>
              <w:lastRenderedPageBreak/>
              <w:t xml:space="preserve">to facilitate an inclusive patient pathway; ensuring effective case-finding, onward referrals and </w:t>
            </w:r>
            <w:proofErr w:type="spellStart"/>
            <w:r w:rsidRPr="009123B9">
              <w:rPr>
                <w:rFonts w:ascii="Verdana" w:hAnsi="Verdana"/>
                <w:szCs w:val="22"/>
              </w:rPr>
              <w:t>longterm</w:t>
            </w:r>
            <w:proofErr w:type="spellEnd"/>
            <w:r w:rsidRPr="009123B9">
              <w:rPr>
                <w:rFonts w:ascii="Verdana" w:hAnsi="Verdana"/>
                <w:szCs w:val="22"/>
              </w:rPr>
              <w:t xml:space="preserve"> management of osteoporosis</w:t>
            </w:r>
          </w:p>
        </w:tc>
        <w:tc>
          <w:tcPr>
            <w:tcW w:w="6044" w:type="dxa"/>
          </w:tcPr>
          <w:p w14:paraId="45C7801F" w14:textId="77777777" w:rsidR="00331A74" w:rsidRPr="009123B9" w:rsidRDefault="00331A74" w:rsidP="000543AD">
            <w:pPr>
              <w:spacing w:after="120"/>
              <w:rPr>
                <w:rFonts w:ascii="Verdana" w:hAnsi="Verdana"/>
                <w:szCs w:val="22"/>
              </w:rPr>
            </w:pPr>
            <w:r w:rsidRPr="009123B9">
              <w:rPr>
                <w:rFonts w:ascii="Verdana" w:hAnsi="Verdana"/>
                <w:b/>
                <w:bCs/>
                <w:szCs w:val="22"/>
              </w:rPr>
              <w:lastRenderedPageBreak/>
              <w:t>5.1.</w:t>
            </w:r>
            <w:r w:rsidRPr="009123B9">
              <w:rPr>
                <w:rFonts w:ascii="Verdana" w:hAnsi="Verdana"/>
                <w:szCs w:val="22"/>
              </w:rPr>
              <w:t xml:space="preserve"> Clear management plans are prepared to facilitate transfer of patient care into primary care, </w:t>
            </w:r>
            <w:r w:rsidRPr="009123B9">
              <w:rPr>
                <w:rFonts w:ascii="Verdana" w:hAnsi="Verdana"/>
                <w:szCs w:val="22"/>
              </w:rPr>
              <w:lastRenderedPageBreak/>
              <w:t xml:space="preserve">enabling the long-term management of osteoporosis. </w:t>
            </w:r>
          </w:p>
          <w:p w14:paraId="118AF836" w14:textId="77777777" w:rsidR="00331A74" w:rsidRPr="009123B9" w:rsidRDefault="00331A74" w:rsidP="000543AD">
            <w:pPr>
              <w:spacing w:after="120"/>
              <w:rPr>
                <w:rFonts w:ascii="Verdana" w:hAnsi="Verdana"/>
                <w:szCs w:val="22"/>
              </w:rPr>
            </w:pPr>
            <w:r w:rsidRPr="009123B9">
              <w:rPr>
                <w:rFonts w:ascii="Verdana" w:hAnsi="Verdana"/>
                <w:b/>
                <w:bCs/>
                <w:szCs w:val="22"/>
              </w:rPr>
              <w:t>5.2.</w:t>
            </w:r>
            <w:r w:rsidRPr="009123B9">
              <w:rPr>
                <w:rFonts w:ascii="Verdana" w:hAnsi="Verdana"/>
                <w:szCs w:val="22"/>
              </w:rPr>
              <w:t xml:space="preserve"> The FLS staff maintain relationships with relevant in-hospital services. </w:t>
            </w:r>
          </w:p>
          <w:p w14:paraId="1B60E605" w14:textId="77777777" w:rsidR="00331A74" w:rsidRPr="009123B9" w:rsidRDefault="00331A74" w:rsidP="000543AD">
            <w:pPr>
              <w:spacing w:after="120"/>
              <w:rPr>
                <w:rFonts w:ascii="Verdana" w:hAnsi="Verdana"/>
                <w:szCs w:val="22"/>
              </w:rPr>
            </w:pPr>
            <w:r w:rsidRPr="009123B9">
              <w:rPr>
                <w:rFonts w:ascii="Verdana" w:hAnsi="Verdana"/>
                <w:b/>
                <w:bCs/>
                <w:szCs w:val="22"/>
              </w:rPr>
              <w:t>5.3.</w:t>
            </w:r>
            <w:r w:rsidRPr="009123B9">
              <w:rPr>
                <w:rFonts w:ascii="Verdana" w:hAnsi="Verdana"/>
                <w:szCs w:val="22"/>
              </w:rPr>
              <w:t xml:space="preserve"> The FLS staff have a good understanding of the available out-of-hospital services and how people using the FLS can access these. </w:t>
            </w:r>
          </w:p>
          <w:p w14:paraId="6F64FC58" w14:textId="77777777" w:rsidR="00331A74" w:rsidRPr="009123B9" w:rsidRDefault="00331A74" w:rsidP="000543AD">
            <w:pPr>
              <w:spacing w:after="120"/>
              <w:rPr>
                <w:rFonts w:ascii="Verdana" w:hAnsi="Verdana"/>
                <w:szCs w:val="22"/>
              </w:rPr>
            </w:pPr>
            <w:r w:rsidRPr="009123B9">
              <w:rPr>
                <w:rFonts w:ascii="Verdana" w:hAnsi="Verdana"/>
                <w:b/>
                <w:bCs/>
                <w:szCs w:val="22"/>
              </w:rPr>
              <w:t>5.4.</w:t>
            </w:r>
            <w:r w:rsidRPr="009123B9">
              <w:rPr>
                <w:rFonts w:ascii="Verdana" w:hAnsi="Verdana"/>
                <w:szCs w:val="22"/>
              </w:rPr>
              <w:t xml:space="preserve"> Referral pathways between the FLS and relevant services are agreed. </w:t>
            </w:r>
          </w:p>
          <w:p w14:paraId="1031B475" w14:textId="77777777" w:rsidR="00331A74" w:rsidRDefault="00331A74" w:rsidP="000543AD">
            <w:pPr>
              <w:spacing w:after="120"/>
              <w:rPr>
                <w:rFonts w:ascii="Verdana" w:hAnsi="Verdana"/>
              </w:rPr>
            </w:pPr>
            <w:r w:rsidRPr="009123B9">
              <w:rPr>
                <w:rFonts w:ascii="Verdana" w:hAnsi="Verdana"/>
                <w:b/>
                <w:bCs/>
                <w:szCs w:val="22"/>
              </w:rPr>
              <w:t>5.5</w:t>
            </w:r>
            <w:r w:rsidRPr="009123B9">
              <w:rPr>
                <w:rFonts w:ascii="Verdana" w:hAnsi="Verdana"/>
                <w:szCs w:val="22"/>
              </w:rPr>
              <w:t xml:space="preserve">. People who are recommended interventions to reduce risk of fracture will be reviewed annually to monitor adherence, </w:t>
            </w:r>
            <w:proofErr w:type="gramStart"/>
            <w:r w:rsidRPr="009123B9">
              <w:rPr>
                <w:rFonts w:ascii="Verdana" w:hAnsi="Verdana"/>
                <w:szCs w:val="22"/>
              </w:rPr>
              <w:t>tolerability</w:t>
            </w:r>
            <w:proofErr w:type="gramEnd"/>
            <w:r w:rsidRPr="009123B9">
              <w:rPr>
                <w:rFonts w:ascii="Verdana" w:hAnsi="Verdana"/>
                <w:szCs w:val="22"/>
              </w:rPr>
              <w:t xml:space="preserve"> and unwanted effects of their treatment plan.</w:t>
            </w:r>
            <w:r>
              <w:rPr>
                <w:rFonts w:ascii="Verdana" w:hAnsi="Verdana"/>
                <w:szCs w:val="22"/>
              </w:rPr>
              <w:t xml:space="preserve"> After the initial 52 review, the FLS will handed over to Primary Care, for long term osteoporosis management. </w:t>
            </w:r>
          </w:p>
          <w:p w14:paraId="5DE4A2FA" w14:textId="77777777" w:rsidR="00331A74" w:rsidRPr="009123B9" w:rsidRDefault="00331A74" w:rsidP="000543AD">
            <w:pPr>
              <w:spacing w:after="120"/>
              <w:rPr>
                <w:rFonts w:ascii="Verdana" w:hAnsi="Verdana" w:cs="Arial"/>
                <w:szCs w:val="22"/>
              </w:rPr>
            </w:pPr>
            <w:r w:rsidRPr="009123B9">
              <w:rPr>
                <w:rFonts w:ascii="Verdana" w:hAnsi="Verdana"/>
                <w:b/>
                <w:bCs/>
                <w:szCs w:val="22"/>
              </w:rPr>
              <w:t>5.6.</w:t>
            </w:r>
            <w:r w:rsidRPr="009123B9">
              <w:rPr>
                <w:rFonts w:ascii="Verdana" w:hAnsi="Verdana"/>
                <w:szCs w:val="22"/>
              </w:rPr>
              <w:t xml:space="preserve"> Staff participate in a local multidisciplinary fracture prevention interest group which meets regularly to co-ordinate, plan and develop the FLS.</w:t>
            </w:r>
          </w:p>
        </w:tc>
      </w:tr>
      <w:tr w:rsidR="00331A74" w:rsidRPr="009123B9" w14:paraId="3437944C" w14:textId="77777777" w:rsidTr="000543AD">
        <w:tc>
          <w:tcPr>
            <w:tcW w:w="2972" w:type="dxa"/>
          </w:tcPr>
          <w:p w14:paraId="56B80393" w14:textId="77777777" w:rsidR="00331A74" w:rsidRPr="009123B9" w:rsidRDefault="00331A74" w:rsidP="000543AD">
            <w:pPr>
              <w:spacing w:after="120"/>
              <w:rPr>
                <w:rFonts w:ascii="Verdana" w:hAnsi="Verdana" w:cs="Arial"/>
                <w:szCs w:val="22"/>
              </w:rPr>
            </w:pPr>
            <w:r w:rsidRPr="009123B9">
              <w:rPr>
                <w:rFonts w:ascii="Verdana" w:hAnsi="Verdana"/>
                <w:b/>
                <w:bCs/>
                <w:szCs w:val="22"/>
              </w:rPr>
              <w:lastRenderedPageBreak/>
              <w:t>6 Quality:</w:t>
            </w:r>
            <w:r w:rsidRPr="009123B9">
              <w:rPr>
                <w:rFonts w:ascii="Verdana" w:hAnsi="Verdana"/>
                <w:szCs w:val="22"/>
              </w:rPr>
              <w:t xml:space="preserve"> The FLS demonstrates clinical accountability, ongoing quality improvement, effective </w:t>
            </w:r>
            <w:proofErr w:type="gramStart"/>
            <w:r w:rsidRPr="009123B9">
              <w:rPr>
                <w:rFonts w:ascii="Verdana" w:hAnsi="Verdana"/>
                <w:szCs w:val="22"/>
              </w:rPr>
              <w:t>governance</w:t>
            </w:r>
            <w:proofErr w:type="gramEnd"/>
            <w:r w:rsidRPr="009123B9">
              <w:rPr>
                <w:rFonts w:ascii="Verdana" w:hAnsi="Verdana"/>
                <w:szCs w:val="22"/>
              </w:rPr>
              <w:t xml:space="preserve"> and funded access to continuing professional development for all practitioners.</w:t>
            </w:r>
          </w:p>
        </w:tc>
        <w:tc>
          <w:tcPr>
            <w:tcW w:w="6044" w:type="dxa"/>
          </w:tcPr>
          <w:p w14:paraId="6C6DFB9C" w14:textId="77777777" w:rsidR="00331A74" w:rsidRPr="009123B9" w:rsidRDefault="00331A74" w:rsidP="000543AD">
            <w:pPr>
              <w:spacing w:after="120"/>
              <w:rPr>
                <w:rFonts w:ascii="Verdana" w:hAnsi="Verdana"/>
                <w:szCs w:val="22"/>
              </w:rPr>
            </w:pPr>
            <w:r w:rsidRPr="009123B9">
              <w:rPr>
                <w:rFonts w:ascii="Verdana" w:hAnsi="Verdana"/>
                <w:b/>
                <w:bCs/>
                <w:szCs w:val="22"/>
              </w:rPr>
              <w:t>6.1.</w:t>
            </w:r>
            <w:r w:rsidRPr="009123B9">
              <w:rPr>
                <w:rFonts w:ascii="Verdana" w:hAnsi="Verdana"/>
                <w:szCs w:val="22"/>
              </w:rPr>
              <w:t xml:space="preserve"> A designated lead clinician is accountable for all components of the service. </w:t>
            </w:r>
          </w:p>
          <w:p w14:paraId="525A8E60" w14:textId="77777777" w:rsidR="00331A74" w:rsidRPr="009123B9" w:rsidRDefault="00331A74" w:rsidP="000543AD">
            <w:pPr>
              <w:spacing w:after="120"/>
              <w:rPr>
                <w:rFonts w:ascii="Verdana" w:hAnsi="Verdana"/>
                <w:szCs w:val="22"/>
              </w:rPr>
            </w:pPr>
            <w:r w:rsidRPr="009123B9">
              <w:rPr>
                <w:rFonts w:ascii="Verdana" w:hAnsi="Verdana"/>
                <w:b/>
                <w:bCs/>
                <w:szCs w:val="22"/>
              </w:rPr>
              <w:t>6.2.</w:t>
            </w:r>
            <w:r w:rsidRPr="009123B9">
              <w:rPr>
                <w:rFonts w:ascii="Verdana" w:hAnsi="Verdana"/>
                <w:szCs w:val="22"/>
              </w:rPr>
              <w:t xml:space="preserve"> The FLS is developed in line with a local falls and fracture prevention strategy. </w:t>
            </w:r>
          </w:p>
          <w:p w14:paraId="7714D8B5" w14:textId="77777777" w:rsidR="00331A74" w:rsidRPr="009123B9" w:rsidRDefault="00331A74" w:rsidP="000543AD">
            <w:pPr>
              <w:spacing w:after="120"/>
              <w:rPr>
                <w:rFonts w:ascii="Verdana" w:hAnsi="Verdana"/>
                <w:szCs w:val="22"/>
              </w:rPr>
            </w:pPr>
            <w:r w:rsidRPr="009123B9">
              <w:rPr>
                <w:rFonts w:ascii="Verdana" w:hAnsi="Verdana"/>
                <w:b/>
                <w:bCs/>
                <w:szCs w:val="22"/>
              </w:rPr>
              <w:t>6.3.</w:t>
            </w:r>
            <w:r w:rsidRPr="009123B9">
              <w:rPr>
                <w:rFonts w:ascii="Verdana" w:hAnsi="Verdana"/>
                <w:szCs w:val="22"/>
              </w:rPr>
              <w:t xml:space="preserve"> Core data from people identified by the FLS is recorded on an operational database. </w:t>
            </w:r>
          </w:p>
          <w:p w14:paraId="75CA7DCE" w14:textId="77777777" w:rsidR="00331A74" w:rsidRPr="009123B9" w:rsidRDefault="00331A74" w:rsidP="000543AD">
            <w:pPr>
              <w:spacing w:after="120"/>
              <w:rPr>
                <w:rFonts w:ascii="Verdana" w:hAnsi="Verdana"/>
                <w:szCs w:val="22"/>
              </w:rPr>
            </w:pPr>
            <w:r w:rsidRPr="009123B9">
              <w:rPr>
                <w:rFonts w:ascii="Verdana" w:hAnsi="Verdana"/>
                <w:b/>
                <w:bCs/>
                <w:szCs w:val="22"/>
              </w:rPr>
              <w:t>6.4.</w:t>
            </w:r>
            <w:r w:rsidRPr="009123B9">
              <w:rPr>
                <w:rFonts w:ascii="Verdana" w:hAnsi="Verdana"/>
                <w:szCs w:val="22"/>
              </w:rPr>
              <w:t xml:space="preserve"> A quality assurance framework is in place that includes: </w:t>
            </w:r>
          </w:p>
          <w:p w14:paraId="744930F5" w14:textId="77777777" w:rsidR="00331A74" w:rsidRPr="009123B9" w:rsidRDefault="00331A74" w:rsidP="000543AD">
            <w:pPr>
              <w:spacing w:after="120"/>
              <w:rPr>
                <w:rFonts w:ascii="Verdana" w:hAnsi="Verdana"/>
                <w:szCs w:val="22"/>
              </w:rPr>
            </w:pPr>
            <w:r w:rsidRPr="009123B9">
              <w:rPr>
                <w:rFonts w:ascii="Verdana" w:hAnsi="Verdana"/>
                <w:szCs w:val="22"/>
              </w:rPr>
              <w:t xml:space="preserve">• A programme of continuous improvement including regular audit. </w:t>
            </w:r>
          </w:p>
          <w:p w14:paraId="36E82136" w14:textId="77777777" w:rsidR="00331A74" w:rsidRPr="009123B9" w:rsidRDefault="00331A74" w:rsidP="000543AD">
            <w:pPr>
              <w:spacing w:after="120"/>
              <w:rPr>
                <w:rFonts w:ascii="Verdana" w:hAnsi="Verdana"/>
                <w:szCs w:val="22"/>
              </w:rPr>
            </w:pPr>
            <w:r w:rsidRPr="009123B9">
              <w:rPr>
                <w:rFonts w:ascii="Verdana" w:hAnsi="Verdana"/>
                <w:szCs w:val="22"/>
              </w:rPr>
              <w:t xml:space="preserve">• Participation in national audits such as the </w:t>
            </w:r>
            <w:hyperlink r:id="rId15" w:history="1">
              <w:r w:rsidRPr="0053289D">
                <w:rPr>
                  <w:rStyle w:val="Hyperlink"/>
                  <w:rFonts w:ascii="Verdana" w:hAnsi="Verdana"/>
                </w:rPr>
                <w:t>Fracture Liaison Service Database</w:t>
              </w:r>
            </w:hyperlink>
            <w:r w:rsidRPr="00BB3B60">
              <w:rPr>
                <w:rFonts w:ascii="Verdana" w:hAnsi="Verdana"/>
                <w:color w:val="000000" w:themeColor="text1"/>
              </w:rPr>
              <w:t xml:space="preserve"> </w:t>
            </w:r>
            <w:r w:rsidRPr="00BB3B60">
              <w:rPr>
                <w:rFonts w:ascii="Verdana" w:hAnsi="Verdana"/>
                <w:b/>
                <w:color w:val="000000" w:themeColor="text1"/>
              </w:rPr>
              <w:t>[in England and Wales]</w:t>
            </w:r>
            <w:r w:rsidRPr="00BB3B60">
              <w:rPr>
                <w:rFonts w:ascii="Verdana" w:hAnsi="Verdana"/>
                <w:color w:val="000000" w:themeColor="text1"/>
              </w:rPr>
              <w:t xml:space="preserve"> </w:t>
            </w:r>
            <w:r w:rsidRPr="00BB3B60">
              <w:rPr>
                <w:rFonts w:ascii="Verdana" w:hAnsi="Verdana" w:cs="Arial"/>
                <w:lang w:val="en-US"/>
              </w:rPr>
              <w:t xml:space="preserve">or the Hip Fracture Audit </w:t>
            </w:r>
            <w:r w:rsidRPr="00BB3B60">
              <w:rPr>
                <w:rFonts w:ascii="Verdana" w:hAnsi="Verdana" w:cs="Arial"/>
                <w:b/>
                <w:lang w:val="en-US"/>
              </w:rPr>
              <w:t>[in Scotland</w:t>
            </w:r>
            <w:proofErr w:type="gramStart"/>
            <w:r w:rsidRPr="00BB3B60">
              <w:rPr>
                <w:rFonts w:ascii="Verdana" w:hAnsi="Verdana" w:cs="Arial"/>
                <w:b/>
                <w:lang w:val="en-US"/>
              </w:rPr>
              <w:t>]</w:t>
            </w:r>
            <w:r w:rsidRPr="00BB3B60">
              <w:rPr>
                <w:rFonts w:ascii="Verdana" w:hAnsi="Verdana" w:cs="Arial"/>
                <w:lang w:val="en-US"/>
              </w:rPr>
              <w:t>.</w:t>
            </w:r>
            <w:r w:rsidRPr="009123B9">
              <w:rPr>
                <w:rFonts w:ascii="Verdana" w:hAnsi="Verdana"/>
                <w:szCs w:val="22"/>
              </w:rPr>
              <w:t>.</w:t>
            </w:r>
            <w:proofErr w:type="gramEnd"/>
            <w:r w:rsidRPr="009123B9">
              <w:rPr>
                <w:rFonts w:ascii="Verdana" w:hAnsi="Verdana"/>
                <w:szCs w:val="22"/>
              </w:rPr>
              <w:t xml:space="preserve"> </w:t>
            </w:r>
          </w:p>
          <w:p w14:paraId="024EF85A" w14:textId="77777777" w:rsidR="00331A74" w:rsidRPr="009123B9" w:rsidRDefault="00331A74" w:rsidP="000543AD">
            <w:pPr>
              <w:spacing w:after="120"/>
              <w:rPr>
                <w:rFonts w:ascii="Verdana" w:hAnsi="Verdana"/>
                <w:szCs w:val="22"/>
              </w:rPr>
            </w:pPr>
            <w:r w:rsidRPr="009123B9">
              <w:rPr>
                <w:rFonts w:ascii="Verdana" w:hAnsi="Verdana"/>
                <w:szCs w:val="22"/>
              </w:rPr>
              <w:t xml:space="preserve">• Peer review. </w:t>
            </w:r>
          </w:p>
          <w:p w14:paraId="2A9A3F1B" w14:textId="77777777" w:rsidR="00331A74" w:rsidRPr="009123B9" w:rsidRDefault="00331A74" w:rsidP="000543AD">
            <w:pPr>
              <w:spacing w:after="120"/>
              <w:rPr>
                <w:rFonts w:ascii="Verdana" w:hAnsi="Verdana"/>
                <w:szCs w:val="22"/>
              </w:rPr>
            </w:pPr>
            <w:r w:rsidRPr="009123B9">
              <w:rPr>
                <w:rFonts w:ascii="Verdana" w:hAnsi="Verdana"/>
                <w:szCs w:val="22"/>
              </w:rPr>
              <w:t xml:space="preserve">• Patient and carer experience measures. </w:t>
            </w:r>
          </w:p>
          <w:p w14:paraId="7A73C14E" w14:textId="77777777" w:rsidR="00331A74" w:rsidRPr="009123B9" w:rsidRDefault="00331A74" w:rsidP="000543AD">
            <w:pPr>
              <w:spacing w:after="120"/>
              <w:rPr>
                <w:rFonts w:ascii="Verdana" w:hAnsi="Verdana"/>
                <w:szCs w:val="22"/>
              </w:rPr>
            </w:pPr>
            <w:r w:rsidRPr="009123B9">
              <w:rPr>
                <w:rFonts w:ascii="Verdana" w:hAnsi="Verdana"/>
                <w:b/>
                <w:bCs/>
                <w:szCs w:val="22"/>
              </w:rPr>
              <w:t>6.5.</w:t>
            </w:r>
            <w:r w:rsidRPr="009123B9">
              <w:rPr>
                <w:rFonts w:ascii="Verdana" w:hAnsi="Verdana"/>
                <w:szCs w:val="22"/>
              </w:rPr>
              <w:t xml:space="preserve"> All members of the FLS team have assessment of professional competencies and demonstrate continuing professional development. </w:t>
            </w:r>
          </w:p>
          <w:p w14:paraId="45CBBDA7" w14:textId="77777777" w:rsidR="00331A74" w:rsidRPr="009123B9" w:rsidRDefault="00331A74" w:rsidP="000543AD">
            <w:pPr>
              <w:spacing w:after="120"/>
              <w:rPr>
                <w:rFonts w:ascii="Verdana" w:hAnsi="Verdana" w:cs="Arial"/>
                <w:szCs w:val="22"/>
              </w:rPr>
            </w:pPr>
            <w:r w:rsidRPr="009123B9">
              <w:rPr>
                <w:rFonts w:ascii="Verdana" w:hAnsi="Verdana"/>
                <w:b/>
                <w:bCs/>
                <w:szCs w:val="22"/>
              </w:rPr>
              <w:t>6.6.</w:t>
            </w:r>
            <w:r w:rsidRPr="009123B9">
              <w:rPr>
                <w:rFonts w:ascii="Verdana" w:hAnsi="Verdana"/>
                <w:szCs w:val="22"/>
              </w:rPr>
              <w:t xml:space="preserve"> Staff are active participants in a regional clinical or professional network.</w:t>
            </w:r>
          </w:p>
        </w:tc>
      </w:tr>
    </w:tbl>
    <w:p w14:paraId="5340FF46" w14:textId="77777777" w:rsidR="00331A74" w:rsidRDefault="00331A74" w:rsidP="00331A74">
      <w:pPr>
        <w:spacing w:after="120"/>
        <w:jc w:val="both"/>
        <w:rPr>
          <w:rFonts w:ascii="Verdana" w:hAnsi="Verdana" w:cs="Arial"/>
          <w:szCs w:val="18"/>
        </w:rPr>
      </w:pPr>
    </w:p>
    <w:p w14:paraId="7F8E0E32" w14:textId="23F3DC54" w:rsidR="00331A74" w:rsidRPr="00BB3B60" w:rsidRDefault="00331A74" w:rsidP="00331A74">
      <w:pPr>
        <w:autoSpaceDE w:val="0"/>
        <w:autoSpaceDN w:val="0"/>
        <w:adjustRightInd w:val="0"/>
        <w:jc w:val="both"/>
        <w:rPr>
          <w:rFonts w:ascii="Verdana" w:hAnsi="Verdana" w:cs="Arial"/>
          <w:szCs w:val="22"/>
        </w:rPr>
      </w:pPr>
      <w:r w:rsidRPr="00331A74">
        <w:rPr>
          <w:rFonts w:ascii="Verdana" w:hAnsi="Verdana" w:cs="Arial"/>
          <w:b/>
          <w:bCs/>
          <w:szCs w:val="22"/>
        </w:rPr>
        <w:t>Outcomes:</w:t>
      </w:r>
      <w:r>
        <w:rPr>
          <w:rFonts w:ascii="Verdana" w:hAnsi="Verdana" w:cs="Arial"/>
          <w:szCs w:val="22"/>
        </w:rPr>
        <w:t xml:space="preserve"> </w:t>
      </w:r>
      <w:r w:rsidRPr="00BB3B60">
        <w:rPr>
          <w:rFonts w:ascii="Verdana" w:hAnsi="Verdana" w:cs="Arial"/>
          <w:szCs w:val="22"/>
        </w:rPr>
        <w:t xml:space="preserve">A set of 11 KPIs were </w:t>
      </w:r>
      <w:r>
        <w:rPr>
          <w:rFonts w:ascii="Verdana" w:hAnsi="Verdana" w:cs="Arial"/>
          <w:szCs w:val="22"/>
        </w:rPr>
        <w:t>developed</w:t>
      </w:r>
      <w:r w:rsidRPr="00BB3B60">
        <w:rPr>
          <w:rFonts w:ascii="Verdana" w:hAnsi="Verdana" w:cs="Arial"/>
          <w:szCs w:val="22"/>
        </w:rPr>
        <w:t xml:space="preserve"> by the </w:t>
      </w:r>
      <w:hyperlink r:id="rId16" w:history="1">
        <w:r w:rsidRPr="009432AE">
          <w:rPr>
            <w:rStyle w:val="Hyperlink"/>
            <w:rFonts w:ascii="Verdana" w:hAnsi="Verdana" w:cs="Arial"/>
            <w:szCs w:val="22"/>
          </w:rPr>
          <w:t>Fracture Liaison Service Database (FLS-DB)</w:t>
        </w:r>
      </w:hyperlink>
      <w:r w:rsidRPr="00BB3B60">
        <w:rPr>
          <w:rFonts w:ascii="Verdana" w:hAnsi="Verdana" w:cs="Arial"/>
          <w:szCs w:val="22"/>
        </w:rPr>
        <w:t xml:space="preserve"> multidisciplinary advisory group, which includes patient representation. All the KPIs are based on </w:t>
      </w:r>
      <w:r>
        <w:rPr>
          <w:rFonts w:ascii="Verdana" w:hAnsi="Verdana" w:cs="Arial"/>
          <w:szCs w:val="22"/>
        </w:rPr>
        <w:t>N</w:t>
      </w:r>
      <w:r w:rsidRPr="00BB3B60">
        <w:rPr>
          <w:rFonts w:ascii="Verdana" w:hAnsi="Verdana" w:cs="Arial"/>
          <w:szCs w:val="22"/>
        </w:rPr>
        <w:t xml:space="preserve">ICE technology assessments and guidance on osteoporosis and the Royal Osteoporosis Society (ROS) clinical </w:t>
      </w:r>
      <w:r w:rsidRPr="00BB3B60">
        <w:rPr>
          <w:rFonts w:ascii="Verdana" w:hAnsi="Verdana" w:cs="Arial"/>
          <w:szCs w:val="22"/>
        </w:rPr>
        <w:lastRenderedPageBreak/>
        <w:t xml:space="preserve">standards for FLSs. The FLS should aim to deliver these KPIs as part of their service. </w:t>
      </w:r>
    </w:p>
    <w:p w14:paraId="07C39857" w14:textId="77777777" w:rsidR="00331A74" w:rsidRPr="00BB3B60" w:rsidRDefault="00331A74" w:rsidP="00331A74">
      <w:pPr>
        <w:autoSpaceDE w:val="0"/>
        <w:autoSpaceDN w:val="0"/>
        <w:adjustRightInd w:val="0"/>
        <w:jc w:val="both"/>
        <w:rPr>
          <w:rFonts w:ascii="Verdana" w:hAnsi="Verdana" w:cs="Arial"/>
          <w:b/>
          <w:szCs w:val="22"/>
          <w:u w:val="single"/>
        </w:rPr>
      </w:pPr>
      <w:r w:rsidRPr="00BB3B60">
        <w:rPr>
          <w:rFonts w:ascii="Verdana" w:hAnsi="Verdana" w:cs="Arial"/>
          <w:b/>
          <w:szCs w:val="22"/>
          <w:u w:val="single"/>
        </w:rPr>
        <w:t>Five core KPIs</w:t>
      </w:r>
    </w:p>
    <w:p w14:paraId="75B804F7"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1 Data completeness:</w:t>
      </w:r>
      <w:r w:rsidRPr="00BB3B60">
        <w:rPr>
          <w:rFonts w:ascii="Verdana" w:hAnsi="Verdana" w:cs="Arial"/>
          <w:szCs w:val="22"/>
        </w:rPr>
        <w:t xml:space="preserve"> The number of non-mandatory fields with &gt;20% non-mandatory missing data</w:t>
      </w:r>
    </w:p>
    <w:p w14:paraId="2FA35CE3"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 xml:space="preserve">KPI 2 Identification of all fragility fractures: </w:t>
      </w:r>
      <w:r w:rsidRPr="00BB3B60">
        <w:rPr>
          <w:rFonts w:ascii="Verdana" w:hAnsi="Verdana" w:cs="Arial"/>
          <w:szCs w:val="22"/>
        </w:rPr>
        <w:t xml:space="preserve">The percentage of fragility fracture patient records that were submitted to the FLS-DB compared with the local expected case </w:t>
      </w:r>
      <w:proofErr w:type="gramStart"/>
      <w:r w:rsidRPr="00BB3B60">
        <w:rPr>
          <w:rFonts w:ascii="Verdana" w:hAnsi="Verdana" w:cs="Arial"/>
          <w:szCs w:val="22"/>
        </w:rPr>
        <w:t>load</w:t>
      </w:r>
      <w:proofErr w:type="gramEnd"/>
    </w:p>
    <w:p w14:paraId="292F2C56"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4 Time to FLS assessment:</w:t>
      </w:r>
      <w:r w:rsidRPr="00BB3B60">
        <w:rPr>
          <w:rFonts w:ascii="Verdana" w:hAnsi="Verdana" w:cs="Arial"/>
          <w:szCs w:val="22"/>
        </w:rPr>
        <w:t xml:space="preserve"> The percentage of patients who were assessed by the FLS within 90 days of their </w:t>
      </w:r>
      <w:proofErr w:type="gramStart"/>
      <w:r w:rsidRPr="00BB3B60">
        <w:rPr>
          <w:rFonts w:ascii="Verdana" w:hAnsi="Verdana" w:cs="Arial"/>
          <w:szCs w:val="22"/>
        </w:rPr>
        <w:t>fracture</w:t>
      </w:r>
      <w:proofErr w:type="gramEnd"/>
    </w:p>
    <w:p w14:paraId="11C497BE"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9 Monitoring contact 12–16 weeks post fracture:</w:t>
      </w:r>
      <w:r w:rsidRPr="00BB3B60">
        <w:rPr>
          <w:rFonts w:ascii="Verdana" w:hAnsi="Verdana" w:cs="Arial"/>
          <w:szCs w:val="22"/>
        </w:rPr>
        <w:t xml:space="preserve"> The percentage of patients who were followed up by 12–16 weeks post </w:t>
      </w:r>
      <w:proofErr w:type="gramStart"/>
      <w:r w:rsidRPr="00BB3B60">
        <w:rPr>
          <w:rFonts w:ascii="Verdana" w:hAnsi="Verdana" w:cs="Arial"/>
          <w:szCs w:val="22"/>
        </w:rPr>
        <w:t>fracture</w:t>
      </w:r>
      <w:proofErr w:type="gramEnd"/>
    </w:p>
    <w:p w14:paraId="3DFE05DA"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10 Commenced bone therapy by 16 weeks post fracture:</w:t>
      </w:r>
      <w:r w:rsidRPr="00BB3B60">
        <w:rPr>
          <w:rFonts w:ascii="Verdana" w:hAnsi="Verdana" w:cs="Arial"/>
          <w:szCs w:val="22"/>
        </w:rPr>
        <w:t xml:space="preserve"> The percentage of patients who had commenced (or were continuing) anti-osteoporosis medication by 16 weeks post fracture.</w:t>
      </w:r>
    </w:p>
    <w:p w14:paraId="55334E04" w14:textId="77777777" w:rsidR="00331A74" w:rsidRPr="00BB3B60" w:rsidRDefault="00331A74" w:rsidP="00331A74">
      <w:pPr>
        <w:autoSpaceDE w:val="0"/>
        <w:autoSpaceDN w:val="0"/>
        <w:adjustRightInd w:val="0"/>
        <w:jc w:val="both"/>
        <w:rPr>
          <w:rFonts w:ascii="Verdana" w:eastAsiaTheme="minorHAnsi" w:hAnsi="Verdana" w:cs="Calibri-Bold"/>
          <w:b/>
          <w:bCs/>
          <w:color w:val="3C444B"/>
          <w:szCs w:val="22"/>
        </w:rPr>
      </w:pPr>
    </w:p>
    <w:p w14:paraId="2C44D6C8" w14:textId="77777777" w:rsidR="00331A74" w:rsidRPr="00BB3B60" w:rsidRDefault="00331A74" w:rsidP="00331A74">
      <w:pPr>
        <w:autoSpaceDE w:val="0"/>
        <w:autoSpaceDN w:val="0"/>
        <w:adjustRightInd w:val="0"/>
        <w:jc w:val="both"/>
        <w:rPr>
          <w:rFonts w:ascii="Verdana" w:hAnsi="Verdana" w:cs="Arial"/>
          <w:b/>
          <w:szCs w:val="22"/>
          <w:u w:val="single"/>
        </w:rPr>
      </w:pPr>
      <w:r w:rsidRPr="00BB3B60">
        <w:rPr>
          <w:rFonts w:ascii="Verdana" w:hAnsi="Verdana" w:cs="Arial"/>
          <w:b/>
          <w:szCs w:val="22"/>
          <w:u w:val="single"/>
        </w:rPr>
        <w:t>Six additional KPIs</w:t>
      </w:r>
    </w:p>
    <w:p w14:paraId="67F07CA3"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3 Identification – spinal fractures:</w:t>
      </w:r>
      <w:r w:rsidRPr="00BB3B60">
        <w:rPr>
          <w:rFonts w:ascii="Verdana" w:hAnsi="Verdana" w:cs="Arial"/>
          <w:szCs w:val="22"/>
        </w:rPr>
        <w:t xml:space="preserve"> The percentage of patients with a spine fracture as the primary fracture site whose data were submitted to the FLS-</w:t>
      </w:r>
      <w:proofErr w:type="gramStart"/>
      <w:r w:rsidRPr="00BB3B60">
        <w:rPr>
          <w:rFonts w:ascii="Verdana" w:hAnsi="Verdana" w:cs="Arial"/>
          <w:szCs w:val="22"/>
        </w:rPr>
        <w:t>DB</w:t>
      </w:r>
      <w:proofErr w:type="gramEnd"/>
    </w:p>
    <w:p w14:paraId="0FEA6C15"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5 Time to DXA:</w:t>
      </w:r>
      <w:r w:rsidRPr="00BB3B60">
        <w:rPr>
          <w:rFonts w:ascii="Verdana" w:hAnsi="Verdana" w:cs="Arial"/>
          <w:szCs w:val="22"/>
        </w:rPr>
        <w:t xml:space="preserve"> The percentage of patients who received a DXA scan within 90 days of their </w:t>
      </w:r>
      <w:proofErr w:type="gramStart"/>
      <w:r w:rsidRPr="00BB3B60">
        <w:rPr>
          <w:rFonts w:ascii="Verdana" w:hAnsi="Verdana" w:cs="Arial"/>
          <w:szCs w:val="22"/>
        </w:rPr>
        <w:t>fracture</w:t>
      </w:r>
      <w:proofErr w:type="gramEnd"/>
    </w:p>
    <w:p w14:paraId="2F412690"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6 Falls assessment:</w:t>
      </w:r>
      <w:r w:rsidRPr="00BB3B60">
        <w:rPr>
          <w:rFonts w:ascii="Verdana" w:hAnsi="Verdana" w:cs="Arial"/>
          <w:szCs w:val="22"/>
        </w:rPr>
        <w:t xml:space="preserve"> The percentage of patients who had been referred or recommended for, or had received, a </w:t>
      </w:r>
      <w:proofErr w:type="gramStart"/>
      <w:r w:rsidRPr="00BB3B60">
        <w:rPr>
          <w:rFonts w:ascii="Verdana" w:hAnsi="Verdana" w:cs="Arial"/>
          <w:szCs w:val="22"/>
        </w:rPr>
        <w:t>falls</w:t>
      </w:r>
      <w:proofErr w:type="gramEnd"/>
      <w:r w:rsidRPr="00BB3B60">
        <w:rPr>
          <w:rFonts w:ascii="Verdana" w:hAnsi="Verdana" w:cs="Arial"/>
          <w:szCs w:val="22"/>
        </w:rPr>
        <w:t xml:space="preserve"> assessment</w:t>
      </w:r>
    </w:p>
    <w:p w14:paraId="71714058"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7 Bone therapy recommended as inappropriate:</w:t>
      </w:r>
      <w:r w:rsidRPr="00BB3B60">
        <w:rPr>
          <w:rFonts w:ascii="Verdana" w:hAnsi="Verdana" w:cs="Arial"/>
          <w:szCs w:val="22"/>
        </w:rPr>
        <w:t xml:space="preserve"> The percentage of patients for whom a treatment recommendation was recorded as ‘clinical decision not to treat or </w:t>
      </w:r>
      <w:proofErr w:type="gramStart"/>
      <w:r w:rsidRPr="00BB3B60">
        <w:rPr>
          <w:rFonts w:ascii="Verdana" w:hAnsi="Verdana" w:cs="Arial"/>
          <w:szCs w:val="22"/>
        </w:rPr>
        <w:t>inappropriate’</w:t>
      </w:r>
      <w:proofErr w:type="gramEnd"/>
    </w:p>
    <w:p w14:paraId="20BE6E9A"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8 Strength and balance training:</w:t>
      </w:r>
      <w:r w:rsidRPr="00BB3B60">
        <w:rPr>
          <w:rFonts w:ascii="Verdana" w:hAnsi="Verdana" w:cs="Arial"/>
          <w:szCs w:val="22"/>
        </w:rPr>
        <w:t xml:space="preserve"> The percentage of patients who had attended a strength and balance class within 16 weeks of their </w:t>
      </w:r>
      <w:proofErr w:type="gramStart"/>
      <w:r w:rsidRPr="00BB3B60">
        <w:rPr>
          <w:rFonts w:ascii="Verdana" w:hAnsi="Verdana" w:cs="Arial"/>
          <w:szCs w:val="22"/>
        </w:rPr>
        <w:t>fracture</w:t>
      </w:r>
      <w:proofErr w:type="gramEnd"/>
    </w:p>
    <w:p w14:paraId="44A5BC86" w14:textId="77777777" w:rsidR="00331A74" w:rsidRPr="00BB3B60" w:rsidRDefault="00331A74" w:rsidP="00331A74">
      <w:pPr>
        <w:autoSpaceDE w:val="0"/>
        <w:autoSpaceDN w:val="0"/>
        <w:adjustRightInd w:val="0"/>
        <w:jc w:val="both"/>
        <w:rPr>
          <w:rFonts w:ascii="Verdana" w:hAnsi="Verdana" w:cs="Arial"/>
          <w:szCs w:val="22"/>
        </w:rPr>
      </w:pPr>
      <w:r w:rsidRPr="00BB3B60">
        <w:rPr>
          <w:rFonts w:ascii="Verdana" w:hAnsi="Verdana" w:cs="Arial"/>
          <w:b/>
          <w:szCs w:val="22"/>
        </w:rPr>
        <w:t>KPI 11 Adherent to a prescribed anti-osteoporosis drug 12 months after their fracture:</w:t>
      </w:r>
      <w:r w:rsidRPr="00BB3B60">
        <w:rPr>
          <w:rFonts w:ascii="Verdana" w:hAnsi="Verdana" w:cs="Arial"/>
          <w:szCs w:val="22"/>
        </w:rPr>
        <w:t xml:space="preserve"> The percentage of patients who had confirmed adherence to a prescribed anti-osteoporosis drug at 12 months post fracture.</w:t>
      </w:r>
    </w:p>
    <w:p w14:paraId="253E2B76" w14:textId="77777777" w:rsidR="00331A74" w:rsidRDefault="00331A74" w:rsidP="00331A74">
      <w:pPr>
        <w:autoSpaceDE w:val="0"/>
        <w:autoSpaceDN w:val="0"/>
        <w:adjustRightInd w:val="0"/>
        <w:jc w:val="both"/>
        <w:rPr>
          <w:rFonts w:ascii="Verdana" w:hAnsi="Verdana" w:cs="Arial"/>
          <w:szCs w:val="22"/>
        </w:rPr>
      </w:pPr>
    </w:p>
    <w:p w14:paraId="5D160BFB" w14:textId="77777777" w:rsidR="00331A74" w:rsidRPr="000910A4" w:rsidRDefault="00331A74" w:rsidP="00331A74">
      <w:pPr>
        <w:autoSpaceDE w:val="0"/>
        <w:autoSpaceDN w:val="0"/>
        <w:adjustRightInd w:val="0"/>
        <w:jc w:val="both"/>
        <w:rPr>
          <w:rFonts w:ascii="Verdana" w:hAnsi="Verdana" w:cs="Arial"/>
          <w:b/>
          <w:szCs w:val="22"/>
        </w:rPr>
      </w:pPr>
      <w:r w:rsidRPr="00BB3B60">
        <w:rPr>
          <w:rFonts w:ascii="Verdana" w:hAnsi="Verdana" w:cs="Arial"/>
          <w:b/>
          <w:szCs w:val="22"/>
        </w:rPr>
        <w:t>[Please edit for any local</w:t>
      </w:r>
      <w:r>
        <w:rPr>
          <w:rFonts w:ascii="Verdana" w:hAnsi="Verdana" w:cs="Arial"/>
          <w:b/>
          <w:szCs w:val="22"/>
        </w:rPr>
        <w:t xml:space="preserve"> aims, </w:t>
      </w:r>
      <w:proofErr w:type="gramStart"/>
      <w:r>
        <w:rPr>
          <w:rFonts w:ascii="Verdana" w:hAnsi="Verdana" w:cs="Arial"/>
          <w:b/>
          <w:szCs w:val="22"/>
        </w:rPr>
        <w:t>objectives</w:t>
      </w:r>
      <w:proofErr w:type="gramEnd"/>
      <w:r>
        <w:rPr>
          <w:rFonts w:ascii="Verdana" w:hAnsi="Verdana" w:cs="Arial"/>
          <w:b/>
          <w:szCs w:val="22"/>
        </w:rPr>
        <w:t xml:space="preserve"> and Outcomes</w:t>
      </w:r>
      <w:r w:rsidRPr="00BB3B60">
        <w:rPr>
          <w:rFonts w:ascii="Verdana" w:hAnsi="Verdana" w:cs="Arial"/>
          <w:b/>
          <w:szCs w:val="22"/>
        </w:rPr>
        <w:t>]</w:t>
      </w:r>
    </w:p>
    <w:p w14:paraId="31D68C47" w14:textId="77777777" w:rsidR="00331A74" w:rsidRPr="006D09E0" w:rsidRDefault="00331A74" w:rsidP="00331A74">
      <w:pPr>
        <w:pStyle w:val="Heading2"/>
        <w:numPr>
          <w:ilvl w:val="0"/>
          <w:numId w:val="1"/>
        </w:numPr>
        <w:ind w:left="0" w:hanging="426"/>
        <w:rPr>
          <w:rFonts w:ascii="Verdana" w:hAnsi="Verdana"/>
          <w:sz w:val="28"/>
          <w:szCs w:val="28"/>
        </w:rPr>
      </w:pPr>
      <w:r w:rsidRPr="006D09E0">
        <w:rPr>
          <w:rFonts w:ascii="Verdana" w:hAnsi="Verdana"/>
          <w:sz w:val="28"/>
          <w:szCs w:val="28"/>
        </w:rPr>
        <w:t>Outline of the proposed service</w:t>
      </w:r>
    </w:p>
    <w:p w14:paraId="0ED04F72" w14:textId="77777777" w:rsidR="00331A74" w:rsidRPr="00BB3B60" w:rsidRDefault="00331A74" w:rsidP="00331A74">
      <w:pPr>
        <w:spacing w:after="120"/>
        <w:jc w:val="both"/>
        <w:rPr>
          <w:rFonts w:ascii="Verdana" w:hAnsi="Verdana" w:cs="Arial"/>
          <w:szCs w:val="22"/>
        </w:rPr>
      </w:pPr>
      <w:r w:rsidRPr="00BB3B60">
        <w:rPr>
          <w:rFonts w:ascii="Verdana" w:hAnsi="Verdana" w:cs="Arial"/>
          <w:szCs w:val="22"/>
        </w:rPr>
        <w:t>The establishment of an FLS, for patients aged over 50, who sustain a low impact (fragility) fracture, acquired following a fall, slip or trip from a standing height; with the primary aim of preventing subsequent fracture.</w:t>
      </w:r>
    </w:p>
    <w:p w14:paraId="68847F1C" w14:textId="095ACC10" w:rsidR="00331A74" w:rsidRDefault="00331A74" w:rsidP="00331A74">
      <w:pPr>
        <w:pStyle w:val="MMCallout1"/>
        <w:numPr>
          <w:ilvl w:val="0"/>
          <w:numId w:val="0"/>
        </w:numPr>
        <w:spacing w:after="0" w:line="240" w:lineRule="auto"/>
        <w:rPr>
          <w:rFonts w:ascii="Verdana" w:hAnsi="Verdana" w:cs="Arial"/>
        </w:rPr>
      </w:pPr>
      <w:r w:rsidRPr="00BB3B60">
        <w:rPr>
          <w:rFonts w:ascii="Verdana" w:hAnsi="Verdana" w:cs="Arial"/>
          <w:lang w:val="en-US"/>
        </w:rPr>
        <w:t xml:space="preserve">There will be a designated lead clinician is accountable for all components of the service. </w:t>
      </w:r>
      <w:r w:rsidRPr="00BB3B60">
        <w:rPr>
          <w:rFonts w:ascii="Verdana" w:hAnsi="Verdana" w:cs="Arial"/>
        </w:rPr>
        <w:t xml:space="preserve">The service will promote coordination between both in-hospital (e.g. acute) and out-of-hospital (e.g. community, primary care) health settings; to ensure that care is seamless and consistent and </w:t>
      </w:r>
      <w:r w:rsidRPr="001B1723">
        <w:rPr>
          <w:rFonts w:ascii="Verdana" w:hAnsi="Verdana" w:cs="Arial"/>
        </w:rPr>
        <w:t xml:space="preserve">will be in line with the </w:t>
      </w:r>
      <w:hyperlink r:id="rId17" w:history="1">
        <w:r w:rsidRPr="00DC62D5">
          <w:rPr>
            <w:rStyle w:val="Hyperlink"/>
            <w:rFonts w:ascii="Verdana" w:hAnsi="Verdana" w:cs="Arial"/>
          </w:rPr>
          <w:t>Royal Osteoporosis Society Clinical Standards for FLS</w:t>
        </w:r>
      </w:hyperlink>
      <w:r>
        <w:rPr>
          <w:rFonts w:ascii="Verdana" w:hAnsi="Verdana" w:cs="Arial"/>
        </w:rPr>
        <w:t xml:space="preserve">, as shown in the table </w:t>
      </w:r>
      <w:r w:rsidR="00E3551E">
        <w:rPr>
          <w:rFonts w:ascii="Verdana" w:hAnsi="Verdana" w:cs="Arial"/>
        </w:rPr>
        <w:t>in Section 6</w:t>
      </w:r>
      <w:r>
        <w:rPr>
          <w:rFonts w:ascii="Verdana" w:hAnsi="Verdana" w:cs="Arial"/>
        </w:rPr>
        <w:t xml:space="preserve">. </w:t>
      </w:r>
    </w:p>
    <w:p w14:paraId="3E0D45F0" w14:textId="77777777" w:rsidR="00331A74" w:rsidRDefault="00331A74" w:rsidP="00331A74">
      <w:pPr>
        <w:pStyle w:val="Heading2"/>
        <w:ind w:left="0"/>
        <w:jc w:val="both"/>
        <w:rPr>
          <w:rFonts w:ascii="Verdana" w:hAnsi="Verdana" w:cstheme="minorHAnsi"/>
          <w:b w:val="0"/>
          <w:sz w:val="22"/>
          <w:szCs w:val="22"/>
        </w:rPr>
      </w:pPr>
      <w:r w:rsidRPr="008F095E">
        <w:rPr>
          <w:rFonts w:ascii="Verdana" w:hAnsi="Verdana" w:cstheme="minorHAnsi"/>
          <w:b w:val="0"/>
          <w:sz w:val="22"/>
          <w:szCs w:val="22"/>
        </w:rPr>
        <w:t xml:space="preserve">The final clinical pathway will be mapped at a stakeholder event following the successful approval of this business </w:t>
      </w:r>
      <w:proofErr w:type="gramStart"/>
      <w:r w:rsidRPr="008F095E">
        <w:rPr>
          <w:rFonts w:ascii="Verdana" w:hAnsi="Verdana" w:cstheme="minorHAnsi"/>
          <w:b w:val="0"/>
          <w:sz w:val="22"/>
          <w:szCs w:val="22"/>
        </w:rPr>
        <w:t>case,</w:t>
      </w:r>
      <w:proofErr w:type="gramEnd"/>
      <w:r w:rsidRPr="008F095E">
        <w:rPr>
          <w:rFonts w:ascii="Verdana" w:hAnsi="Verdana" w:cstheme="minorHAnsi"/>
          <w:b w:val="0"/>
          <w:sz w:val="22"/>
          <w:szCs w:val="22"/>
        </w:rPr>
        <w:t xml:space="preserve"> however this is an outline of the proposed service in line with current national standards</w:t>
      </w:r>
      <w:r>
        <w:rPr>
          <w:rFonts w:ascii="Verdana" w:hAnsi="Verdana" w:cstheme="minorHAnsi"/>
          <w:b w:val="0"/>
          <w:sz w:val="22"/>
          <w:szCs w:val="22"/>
        </w:rPr>
        <w:t xml:space="preserve"> </w:t>
      </w:r>
      <w:r w:rsidRPr="0097293C">
        <w:rPr>
          <w:rFonts w:ascii="Verdana" w:hAnsi="Verdana" w:cstheme="minorHAnsi"/>
          <w:bCs w:val="0"/>
          <w:sz w:val="22"/>
          <w:szCs w:val="22"/>
        </w:rPr>
        <w:t>[if you already have a proposed clinical pathway, please insert here and edit previous description as appropriate]</w:t>
      </w:r>
      <w:r w:rsidRPr="0097293C">
        <w:rPr>
          <w:rFonts w:ascii="Verdana" w:hAnsi="Verdana" w:cstheme="minorHAnsi"/>
          <w:b w:val="0"/>
          <w:sz w:val="22"/>
          <w:szCs w:val="22"/>
        </w:rPr>
        <w:t xml:space="preserve">: </w:t>
      </w:r>
    </w:p>
    <w:p w14:paraId="0A91430B" w14:textId="77777777" w:rsidR="0097293C" w:rsidRPr="0097293C" w:rsidRDefault="0097293C" w:rsidP="0097293C"/>
    <w:p w14:paraId="5D5FC847" w14:textId="77777777" w:rsidR="008F095E" w:rsidRDefault="008F095E" w:rsidP="008F095E">
      <w:pPr>
        <w:pStyle w:val="Heading4"/>
        <w:jc w:val="center"/>
      </w:pPr>
      <w:r>
        <w:rPr>
          <w:noProof/>
          <w:lang w:eastAsia="en-GB"/>
        </w:rPr>
        <w:lastRenderedPageBreak/>
        <w:drawing>
          <wp:inline distT="0" distB="0" distL="0" distR="0" wp14:anchorId="3E932B7A" wp14:editId="2EF7BF70">
            <wp:extent cx="3333750" cy="4641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33750" cy="4641850"/>
                    </a:xfrm>
                    <a:prstGeom prst="rect">
                      <a:avLst/>
                    </a:prstGeom>
                    <a:noFill/>
                    <a:ln>
                      <a:noFill/>
                    </a:ln>
                  </pic:spPr>
                </pic:pic>
              </a:graphicData>
            </a:graphic>
          </wp:inline>
        </w:drawing>
      </w:r>
    </w:p>
    <w:p w14:paraId="496B4D88" w14:textId="77777777" w:rsidR="008F095E" w:rsidRDefault="008F095E" w:rsidP="002F50ED">
      <w:pPr>
        <w:spacing w:after="120"/>
        <w:jc w:val="both"/>
        <w:rPr>
          <w:rFonts w:ascii="Verdana" w:hAnsi="Verdana" w:cs="Arial"/>
          <w:szCs w:val="22"/>
        </w:rPr>
      </w:pPr>
    </w:p>
    <w:bookmarkEnd w:id="6"/>
    <w:p w14:paraId="2D89CB43" w14:textId="251171C6" w:rsidR="000F7DAE" w:rsidRPr="006D09E0" w:rsidRDefault="00D962AF" w:rsidP="00C84FDE">
      <w:pPr>
        <w:spacing w:after="120"/>
        <w:rPr>
          <w:rFonts w:ascii="Verdana" w:hAnsi="Verdana" w:cs="Arial"/>
          <w:b/>
          <w:szCs w:val="22"/>
        </w:rPr>
      </w:pPr>
      <w:r w:rsidRPr="006D09E0">
        <w:rPr>
          <w:rFonts w:ascii="Verdana" w:hAnsi="Verdana" w:cs="Arial"/>
          <w:b/>
          <w:szCs w:val="22"/>
        </w:rPr>
        <w:t>[If you have already developed a service specification you might attach this as an</w:t>
      </w:r>
      <w:r w:rsidR="00C84FDE" w:rsidRPr="006D09E0">
        <w:rPr>
          <w:rFonts w:ascii="Verdana" w:hAnsi="Verdana" w:cs="Arial"/>
          <w:b/>
          <w:szCs w:val="22"/>
        </w:rPr>
        <w:t xml:space="preserve"> </w:t>
      </w:r>
      <w:r w:rsidR="009813C0" w:rsidRPr="006D09E0">
        <w:rPr>
          <w:rFonts w:ascii="Verdana" w:hAnsi="Verdana" w:cs="Arial"/>
          <w:b/>
          <w:szCs w:val="22"/>
        </w:rPr>
        <w:t>appendix to your business case]</w:t>
      </w:r>
    </w:p>
    <w:p w14:paraId="4DB3446F" w14:textId="1015BDDF" w:rsidR="00AC7537" w:rsidRPr="006D09E0" w:rsidRDefault="005C30C7" w:rsidP="00760877">
      <w:pPr>
        <w:pStyle w:val="Heading2"/>
        <w:numPr>
          <w:ilvl w:val="0"/>
          <w:numId w:val="1"/>
        </w:numPr>
        <w:rPr>
          <w:rFonts w:ascii="Verdana" w:hAnsi="Verdana"/>
          <w:sz w:val="28"/>
          <w:szCs w:val="28"/>
        </w:rPr>
      </w:pPr>
      <w:r w:rsidRPr="006D09E0">
        <w:rPr>
          <w:rFonts w:ascii="Verdana" w:hAnsi="Verdana"/>
          <w:sz w:val="28"/>
          <w:szCs w:val="28"/>
        </w:rPr>
        <w:t>F</w:t>
      </w:r>
      <w:r w:rsidR="00DB04F3" w:rsidRPr="006D09E0">
        <w:rPr>
          <w:rFonts w:ascii="Verdana" w:hAnsi="Verdana"/>
          <w:sz w:val="28"/>
          <w:szCs w:val="28"/>
        </w:rPr>
        <w:t xml:space="preserve">inancial </w:t>
      </w:r>
      <w:r w:rsidR="00483A61" w:rsidRPr="006D09E0">
        <w:rPr>
          <w:rFonts w:ascii="Verdana" w:hAnsi="Verdana"/>
          <w:sz w:val="28"/>
          <w:szCs w:val="28"/>
        </w:rPr>
        <w:t>a</w:t>
      </w:r>
      <w:r w:rsidR="00DB04F3" w:rsidRPr="006D09E0">
        <w:rPr>
          <w:rFonts w:ascii="Verdana" w:hAnsi="Verdana"/>
          <w:sz w:val="28"/>
          <w:szCs w:val="28"/>
        </w:rPr>
        <w:t>ssessment</w:t>
      </w:r>
    </w:p>
    <w:p w14:paraId="45D5BCAC" w14:textId="6B56929B" w:rsidR="00357339" w:rsidRPr="006D09E0" w:rsidRDefault="00780C54" w:rsidP="00357339">
      <w:pPr>
        <w:spacing w:after="120"/>
        <w:jc w:val="both"/>
        <w:rPr>
          <w:rFonts w:ascii="Verdana" w:hAnsi="Verdana" w:cs="Arial"/>
          <w:b/>
          <w:szCs w:val="22"/>
        </w:rPr>
      </w:pPr>
      <w:r w:rsidRPr="006D09E0">
        <w:rPr>
          <w:rFonts w:ascii="Verdana" w:hAnsi="Verdana" w:cs="Arial"/>
          <w:b/>
          <w:szCs w:val="22"/>
        </w:rPr>
        <w:t>[</w:t>
      </w:r>
      <w:r w:rsidR="00357339" w:rsidRPr="006D09E0">
        <w:rPr>
          <w:rFonts w:ascii="Verdana" w:hAnsi="Verdana" w:cs="Arial"/>
          <w:b/>
          <w:szCs w:val="22"/>
        </w:rPr>
        <w:t xml:space="preserve">Include details of the costs of the service you are planning to set up. </w:t>
      </w:r>
      <w:r w:rsidR="00357339">
        <w:rPr>
          <w:rFonts w:ascii="Verdana" w:hAnsi="Verdana" w:cs="Arial"/>
          <w:b/>
          <w:szCs w:val="22"/>
        </w:rPr>
        <w:t xml:space="preserve"> </w:t>
      </w:r>
      <w:r w:rsidR="00357339" w:rsidRPr="006D09E0">
        <w:rPr>
          <w:rFonts w:ascii="Verdana" w:hAnsi="Verdana" w:cs="Arial"/>
          <w:b/>
          <w:szCs w:val="22"/>
        </w:rPr>
        <w:t xml:space="preserve">The way that costs are calculated and displayed will vary locally. </w:t>
      </w:r>
      <w:r w:rsidR="00357339">
        <w:rPr>
          <w:rFonts w:ascii="Verdana" w:hAnsi="Verdana" w:cs="Arial"/>
          <w:b/>
          <w:szCs w:val="22"/>
        </w:rPr>
        <w:t xml:space="preserve"> </w:t>
      </w:r>
      <w:r w:rsidR="00357339" w:rsidRPr="006D09E0">
        <w:rPr>
          <w:rFonts w:ascii="Verdana" w:hAnsi="Verdana" w:cs="Arial"/>
          <w:b/>
          <w:szCs w:val="22"/>
        </w:rPr>
        <w:t>Advice from your business manager, finance team and/or your commissioner (where the commissioning organisation is the budget holder) should be sought at this point.</w:t>
      </w:r>
      <w:r w:rsidR="00357339">
        <w:rPr>
          <w:rFonts w:ascii="Verdana" w:hAnsi="Verdana" w:cs="Arial"/>
          <w:b/>
          <w:szCs w:val="22"/>
        </w:rPr>
        <w:t xml:space="preserve"> An example of information that may be included is shown </w:t>
      </w:r>
      <w:r w:rsidR="006A281B">
        <w:rPr>
          <w:rFonts w:ascii="Verdana" w:hAnsi="Verdana" w:cs="Arial"/>
          <w:b/>
          <w:szCs w:val="22"/>
        </w:rPr>
        <w:t xml:space="preserve">in Appendix </w:t>
      </w:r>
      <w:r w:rsidR="00702164">
        <w:rPr>
          <w:rFonts w:ascii="Verdana" w:hAnsi="Verdana" w:cs="Arial"/>
          <w:b/>
          <w:szCs w:val="22"/>
        </w:rPr>
        <w:t>1</w:t>
      </w:r>
      <w:r w:rsidR="00357339">
        <w:rPr>
          <w:rFonts w:ascii="Verdana" w:hAnsi="Verdana" w:cs="Arial"/>
          <w:b/>
          <w:szCs w:val="22"/>
        </w:rPr>
        <w:t xml:space="preserve">, but please use provide information required by your organisation. </w:t>
      </w:r>
    </w:p>
    <w:p w14:paraId="71553BDA" w14:textId="77777777" w:rsidR="00BB5BE0" w:rsidRPr="006D09E0" w:rsidRDefault="00780C54" w:rsidP="001D5782">
      <w:pPr>
        <w:rPr>
          <w:rFonts w:ascii="Verdana" w:hAnsi="Verdana" w:cs="Arial"/>
          <w:b/>
          <w:szCs w:val="22"/>
        </w:rPr>
      </w:pPr>
      <w:r w:rsidRPr="006D09E0">
        <w:rPr>
          <w:rFonts w:ascii="Verdana" w:hAnsi="Verdana" w:cs="Arial"/>
          <w:b/>
          <w:szCs w:val="22"/>
        </w:rPr>
        <w:t xml:space="preserve">This section brings together the </w:t>
      </w:r>
      <w:r w:rsidR="00BB5BE0" w:rsidRPr="006D09E0">
        <w:rPr>
          <w:rFonts w:ascii="Verdana" w:hAnsi="Verdana" w:cs="Arial"/>
          <w:b/>
          <w:szCs w:val="22"/>
        </w:rPr>
        <w:t xml:space="preserve">financial information in a simple calculation </w:t>
      </w:r>
      <w:r w:rsidR="00BD47B6" w:rsidRPr="006D09E0">
        <w:rPr>
          <w:rFonts w:ascii="Verdana" w:hAnsi="Verdana" w:cs="Arial"/>
          <w:b/>
          <w:szCs w:val="22"/>
        </w:rPr>
        <w:t xml:space="preserve">known as </w:t>
      </w:r>
      <w:r w:rsidR="00DE3156" w:rsidRPr="006D09E0">
        <w:rPr>
          <w:rFonts w:ascii="Verdana" w:hAnsi="Verdana" w:cs="Arial"/>
          <w:b/>
          <w:szCs w:val="22"/>
        </w:rPr>
        <w:t xml:space="preserve">a </w:t>
      </w:r>
      <w:r w:rsidR="00BD47B6" w:rsidRPr="006D09E0">
        <w:rPr>
          <w:rFonts w:ascii="Verdana" w:hAnsi="Verdana" w:cs="Arial"/>
          <w:b/>
          <w:szCs w:val="22"/>
        </w:rPr>
        <w:t xml:space="preserve">cost/benefit </w:t>
      </w:r>
      <w:r w:rsidR="00DE3156" w:rsidRPr="006D09E0">
        <w:rPr>
          <w:rFonts w:ascii="Verdana" w:hAnsi="Verdana" w:cs="Arial"/>
          <w:b/>
          <w:szCs w:val="22"/>
        </w:rPr>
        <w:t xml:space="preserve">analysis, </w:t>
      </w:r>
      <w:r w:rsidR="00BB5BE0" w:rsidRPr="006D09E0">
        <w:rPr>
          <w:rFonts w:ascii="Verdana" w:hAnsi="Verdana" w:cs="Arial"/>
          <w:b/>
          <w:szCs w:val="22"/>
        </w:rPr>
        <w:t>which is:</w:t>
      </w:r>
    </w:p>
    <w:p w14:paraId="6DE60437" w14:textId="77777777" w:rsidR="00BB5BE0" w:rsidRPr="006D09E0" w:rsidRDefault="00BB5BE0" w:rsidP="001D5782">
      <w:pPr>
        <w:rPr>
          <w:rFonts w:ascii="Verdana" w:hAnsi="Verdana" w:cs="Arial"/>
          <w:b/>
          <w:szCs w:val="22"/>
        </w:rPr>
      </w:pPr>
    </w:p>
    <w:p w14:paraId="2C3CB315" w14:textId="77777777" w:rsidR="00BB5BE0" w:rsidRPr="006D09E0" w:rsidRDefault="00BB5BE0" w:rsidP="0016055B">
      <w:pPr>
        <w:spacing w:after="120"/>
        <w:jc w:val="center"/>
        <w:rPr>
          <w:rFonts w:ascii="Verdana" w:hAnsi="Verdana" w:cs="Arial"/>
          <w:b/>
          <w:szCs w:val="22"/>
        </w:rPr>
      </w:pPr>
      <w:r w:rsidRPr="006D09E0">
        <w:rPr>
          <w:rFonts w:ascii="Verdana" w:hAnsi="Verdana" w:cs="Arial"/>
          <w:b/>
          <w:szCs w:val="22"/>
        </w:rPr>
        <w:t xml:space="preserve">Estimated value of </w:t>
      </w:r>
      <w:proofErr w:type="gramStart"/>
      <w:r w:rsidRPr="006D09E0">
        <w:rPr>
          <w:rFonts w:ascii="Verdana" w:hAnsi="Verdana" w:cs="Arial"/>
          <w:b/>
          <w:szCs w:val="22"/>
        </w:rPr>
        <w:t>benefits</w:t>
      </w:r>
      <w:proofErr w:type="gramEnd"/>
    </w:p>
    <w:p w14:paraId="2FAF0545" w14:textId="77777777" w:rsidR="00BB5BE0" w:rsidRPr="006D09E0" w:rsidRDefault="000313DC" w:rsidP="0016055B">
      <w:pPr>
        <w:spacing w:after="120"/>
        <w:jc w:val="center"/>
        <w:rPr>
          <w:rFonts w:ascii="Verdana" w:hAnsi="Verdana" w:cs="Arial"/>
          <w:b/>
          <w:szCs w:val="22"/>
        </w:rPr>
      </w:pPr>
      <w:r w:rsidRPr="006D09E0">
        <w:rPr>
          <w:rFonts w:ascii="Verdana" w:hAnsi="Verdana" w:cs="Arial"/>
          <w:b/>
          <w:szCs w:val="22"/>
        </w:rPr>
        <w:t>minus</w:t>
      </w:r>
    </w:p>
    <w:p w14:paraId="6869FD55" w14:textId="77777777" w:rsidR="00BB5BE0" w:rsidRPr="006D09E0" w:rsidRDefault="00BB5BE0" w:rsidP="0016055B">
      <w:pPr>
        <w:spacing w:after="120"/>
        <w:jc w:val="center"/>
        <w:rPr>
          <w:rFonts w:ascii="Verdana" w:hAnsi="Verdana" w:cs="Arial"/>
          <w:b/>
          <w:szCs w:val="22"/>
        </w:rPr>
      </w:pPr>
      <w:r w:rsidRPr="006D09E0">
        <w:rPr>
          <w:rFonts w:ascii="Verdana" w:hAnsi="Verdana" w:cs="Arial"/>
          <w:b/>
          <w:szCs w:val="22"/>
        </w:rPr>
        <w:t>Additional investment</w:t>
      </w:r>
    </w:p>
    <w:p w14:paraId="45289AD8" w14:textId="77777777" w:rsidR="00BB5BE0" w:rsidRPr="006D09E0" w:rsidRDefault="00BB5BE0" w:rsidP="0016055B">
      <w:pPr>
        <w:spacing w:after="120"/>
        <w:jc w:val="center"/>
        <w:rPr>
          <w:rFonts w:ascii="Verdana" w:hAnsi="Verdana" w:cs="Arial"/>
          <w:b/>
          <w:szCs w:val="22"/>
        </w:rPr>
      </w:pPr>
      <w:r w:rsidRPr="006D09E0">
        <w:rPr>
          <w:rFonts w:ascii="Verdana" w:hAnsi="Verdana" w:cs="Arial"/>
          <w:b/>
          <w:szCs w:val="22"/>
        </w:rPr>
        <w:t>=</w:t>
      </w:r>
    </w:p>
    <w:p w14:paraId="41C918B3" w14:textId="77777777" w:rsidR="00BB5BE0" w:rsidRPr="006D09E0" w:rsidRDefault="00BB5BE0" w:rsidP="0016055B">
      <w:pPr>
        <w:spacing w:after="120"/>
        <w:jc w:val="center"/>
        <w:rPr>
          <w:rFonts w:ascii="Verdana" w:hAnsi="Verdana" w:cs="Arial"/>
          <w:b/>
          <w:szCs w:val="22"/>
        </w:rPr>
      </w:pPr>
      <w:r w:rsidRPr="006D09E0">
        <w:rPr>
          <w:rFonts w:ascii="Verdana" w:hAnsi="Verdana" w:cs="Arial"/>
          <w:b/>
          <w:szCs w:val="22"/>
        </w:rPr>
        <w:t>Net benefits</w:t>
      </w:r>
    </w:p>
    <w:p w14:paraId="5AC568C3" w14:textId="1BA35412" w:rsidR="00A83AAE" w:rsidRDefault="00A83AAE" w:rsidP="00CE70B2">
      <w:pPr>
        <w:spacing w:after="120"/>
        <w:jc w:val="both"/>
        <w:rPr>
          <w:rFonts w:ascii="Verdana" w:hAnsi="Verdana" w:cs="Arial"/>
          <w:b/>
          <w:szCs w:val="22"/>
        </w:rPr>
      </w:pPr>
      <w:r w:rsidRPr="006D09E0">
        <w:rPr>
          <w:rFonts w:ascii="Verdana" w:hAnsi="Verdana" w:cs="Arial"/>
          <w:b/>
          <w:szCs w:val="22"/>
        </w:rPr>
        <w:lastRenderedPageBreak/>
        <w:t>Each part of the calculation should be clearly described and then brought together in a single table.</w:t>
      </w:r>
      <w:r w:rsidR="008018C6" w:rsidRPr="006D09E0">
        <w:rPr>
          <w:rFonts w:ascii="Verdana" w:hAnsi="Verdana" w:cs="Arial"/>
          <w:b/>
          <w:szCs w:val="22"/>
        </w:rPr>
        <w:t xml:space="preserve"> </w:t>
      </w:r>
      <w:r w:rsidR="00BC21CF">
        <w:rPr>
          <w:rFonts w:ascii="Verdana" w:hAnsi="Verdana" w:cs="Arial"/>
          <w:b/>
          <w:szCs w:val="22"/>
        </w:rPr>
        <w:t xml:space="preserve"> </w:t>
      </w:r>
      <w:r w:rsidRPr="006D09E0">
        <w:rPr>
          <w:rFonts w:ascii="Verdana" w:hAnsi="Verdana" w:cs="Arial"/>
          <w:b/>
          <w:szCs w:val="22"/>
        </w:rPr>
        <w:t xml:space="preserve">This is </w:t>
      </w:r>
      <w:r w:rsidR="00A907BD" w:rsidRPr="006D09E0">
        <w:rPr>
          <w:rFonts w:ascii="Verdana" w:hAnsi="Verdana" w:cs="Arial"/>
          <w:b/>
          <w:szCs w:val="22"/>
        </w:rPr>
        <w:t>a vital element of your</w:t>
      </w:r>
      <w:r w:rsidRPr="006D09E0">
        <w:rPr>
          <w:rFonts w:ascii="Verdana" w:hAnsi="Verdana" w:cs="Arial"/>
          <w:b/>
          <w:szCs w:val="22"/>
        </w:rPr>
        <w:t xml:space="preserve"> business case as the net benefits may </w:t>
      </w:r>
      <w:r w:rsidR="00A907BD" w:rsidRPr="006D09E0">
        <w:rPr>
          <w:rFonts w:ascii="Verdana" w:hAnsi="Verdana" w:cs="Arial"/>
          <w:b/>
          <w:szCs w:val="22"/>
        </w:rPr>
        <w:t xml:space="preserve">then </w:t>
      </w:r>
      <w:r w:rsidRPr="006D09E0">
        <w:rPr>
          <w:rFonts w:ascii="Verdana" w:hAnsi="Verdana" w:cs="Arial"/>
          <w:b/>
          <w:szCs w:val="22"/>
        </w:rPr>
        <w:t xml:space="preserve">be compared </w:t>
      </w:r>
      <w:r w:rsidR="001845F1" w:rsidRPr="006D09E0">
        <w:rPr>
          <w:rFonts w:ascii="Verdana" w:hAnsi="Verdana" w:cs="Arial"/>
          <w:b/>
          <w:szCs w:val="22"/>
        </w:rPr>
        <w:t xml:space="preserve">with </w:t>
      </w:r>
      <w:r w:rsidRPr="006D09E0">
        <w:rPr>
          <w:rFonts w:ascii="Verdana" w:hAnsi="Verdana" w:cs="Arial"/>
          <w:b/>
          <w:szCs w:val="22"/>
        </w:rPr>
        <w:t>other projects competing for funds</w:t>
      </w:r>
      <w:r w:rsidR="00357339">
        <w:rPr>
          <w:rFonts w:ascii="Verdana" w:hAnsi="Verdana" w:cs="Arial"/>
          <w:b/>
          <w:szCs w:val="22"/>
        </w:rPr>
        <w:t>.</w:t>
      </w:r>
      <w:r w:rsidR="00E162D3">
        <w:rPr>
          <w:rFonts w:ascii="Verdana" w:hAnsi="Verdana" w:cs="Arial"/>
          <w:b/>
          <w:szCs w:val="22"/>
        </w:rPr>
        <w:t xml:space="preserve"> </w:t>
      </w:r>
      <w:r w:rsidR="00D908A2">
        <w:rPr>
          <w:rFonts w:ascii="Verdana" w:hAnsi="Verdana" w:cs="Arial"/>
          <w:b/>
          <w:szCs w:val="22"/>
        </w:rPr>
        <w:t>An example of this is shown in Appendix 1</w:t>
      </w:r>
      <w:r w:rsidR="00357339">
        <w:rPr>
          <w:rFonts w:ascii="Verdana" w:hAnsi="Verdana" w:cs="Arial"/>
          <w:b/>
          <w:szCs w:val="22"/>
        </w:rPr>
        <w:t>]</w:t>
      </w:r>
    </w:p>
    <w:p w14:paraId="65516615" w14:textId="63D515F0" w:rsidR="00DB04F3" w:rsidRPr="006D09E0" w:rsidRDefault="00791272" w:rsidP="00760877">
      <w:pPr>
        <w:pStyle w:val="Heading2"/>
        <w:numPr>
          <w:ilvl w:val="0"/>
          <w:numId w:val="1"/>
        </w:numPr>
        <w:ind w:left="-199" w:hanging="425"/>
        <w:rPr>
          <w:rFonts w:ascii="Verdana" w:hAnsi="Verdana"/>
          <w:sz w:val="28"/>
          <w:szCs w:val="28"/>
        </w:rPr>
      </w:pPr>
      <w:r>
        <w:rPr>
          <w:rFonts w:ascii="Verdana" w:hAnsi="Verdana"/>
          <w:sz w:val="28"/>
          <w:szCs w:val="28"/>
        </w:rPr>
        <w:t xml:space="preserve">  </w:t>
      </w:r>
      <w:r w:rsidR="00DB04F3" w:rsidRPr="006D09E0">
        <w:rPr>
          <w:rFonts w:ascii="Verdana" w:hAnsi="Verdana"/>
          <w:sz w:val="28"/>
          <w:szCs w:val="28"/>
        </w:rPr>
        <w:t>Implementation</w:t>
      </w:r>
    </w:p>
    <w:p w14:paraId="2884D9FD" w14:textId="6E0910FB" w:rsidR="005F5D51" w:rsidRPr="006D09E0" w:rsidRDefault="007766E9">
      <w:pPr>
        <w:rPr>
          <w:rFonts w:ascii="Verdana" w:hAnsi="Verdana"/>
          <w:b/>
        </w:rPr>
      </w:pPr>
      <w:r w:rsidRPr="006D09E0">
        <w:rPr>
          <w:rFonts w:ascii="Verdana" w:hAnsi="Verdana"/>
          <w:b/>
        </w:rPr>
        <w:t xml:space="preserve">[Include information on the steps you will take to launch the service including details of recruitment, facilities, communications, </w:t>
      </w:r>
      <w:r w:rsidR="00DD4D13">
        <w:rPr>
          <w:rFonts w:ascii="Verdana" w:hAnsi="Verdana"/>
          <w:b/>
        </w:rPr>
        <w:t xml:space="preserve">FLSDB data entry </w:t>
      </w:r>
      <w:r w:rsidRPr="006D09E0">
        <w:rPr>
          <w:rFonts w:ascii="Verdana" w:hAnsi="Verdana"/>
          <w:b/>
        </w:rPr>
        <w:t>and so on.</w:t>
      </w:r>
      <w:r w:rsidR="00E439CE">
        <w:rPr>
          <w:rFonts w:ascii="Verdana" w:hAnsi="Verdana"/>
          <w:b/>
        </w:rPr>
        <w:t xml:space="preserve"> </w:t>
      </w:r>
      <w:r w:rsidR="008018C6" w:rsidRPr="006D09E0">
        <w:rPr>
          <w:rFonts w:ascii="Verdana" w:hAnsi="Verdana"/>
          <w:b/>
        </w:rPr>
        <w:t xml:space="preserve"> </w:t>
      </w:r>
      <w:r w:rsidRPr="006D09E0">
        <w:rPr>
          <w:rFonts w:ascii="Verdana" w:hAnsi="Verdana"/>
          <w:b/>
        </w:rPr>
        <w:t>Include dates where possible</w:t>
      </w:r>
      <w:r w:rsidR="002D3525" w:rsidRPr="006D09E0">
        <w:rPr>
          <w:rFonts w:ascii="Verdana" w:hAnsi="Verdana"/>
          <w:b/>
        </w:rPr>
        <w:t>.</w:t>
      </w:r>
      <w:r w:rsidR="003429B4">
        <w:rPr>
          <w:rFonts w:ascii="Verdana" w:hAnsi="Verdana"/>
          <w:b/>
        </w:rPr>
        <w:t xml:space="preserve"> The ROS can help you with this</w:t>
      </w:r>
      <w:r w:rsidRPr="006D09E0">
        <w:rPr>
          <w:rFonts w:ascii="Verdana" w:hAnsi="Verdana"/>
          <w:b/>
        </w:rPr>
        <w:t>]</w:t>
      </w:r>
      <w:r w:rsidR="00357339">
        <w:rPr>
          <w:rFonts w:ascii="Verdana" w:hAnsi="Verdana"/>
          <w:b/>
        </w:rPr>
        <w:t>.</w:t>
      </w:r>
    </w:p>
    <w:p w14:paraId="00198EC2" w14:textId="04E36EB4" w:rsidR="00034CB6" w:rsidRPr="006D09E0" w:rsidRDefault="00DB04F3" w:rsidP="00760877">
      <w:pPr>
        <w:pStyle w:val="Heading2"/>
        <w:numPr>
          <w:ilvl w:val="0"/>
          <w:numId w:val="1"/>
        </w:numPr>
        <w:ind w:left="-198" w:hanging="426"/>
        <w:rPr>
          <w:rFonts w:ascii="Verdana" w:hAnsi="Verdana"/>
          <w:sz w:val="28"/>
          <w:szCs w:val="28"/>
        </w:rPr>
      </w:pPr>
      <w:r w:rsidRPr="006D09E0">
        <w:rPr>
          <w:rFonts w:ascii="Verdana" w:hAnsi="Verdana"/>
          <w:sz w:val="28"/>
          <w:szCs w:val="28"/>
        </w:rPr>
        <w:t>Risk and issues management</w:t>
      </w:r>
    </w:p>
    <w:p w14:paraId="6431F773" w14:textId="755E91A3" w:rsidR="00682027" w:rsidRPr="006D09E0" w:rsidRDefault="00302BC0" w:rsidP="0016055B">
      <w:pPr>
        <w:pStyle w:val="ListParagraph"/>
        <w:spacing w:after="120"/>
        <w:ind w:left="0"/>
        <w:rPr>
          <w:rFonts w:ascii="Verdana" w:hAnsi="Verdana"/>
          <w:b/>
        </w:rPr>
      </w:pPr>
      <w:r w:rsidRPr="006D09E0">
        <w:rPr>
          <w:rFonts w:ascii="Verdana" w:hAnsi="Verdana"/>
          <w:b/>
        </w:rPr>
        <w:t>[Examples of possible risks are given below.</w:t>
      </w:r>
      <w:r w:rsidR="00E96088">
        <w:rPr>
          <w:rFonts w:ascii="Verdana" w:hAnsi="Verdana"/>
          <w:b/>
        </w:rPr>
        <w:t xml:space="preserve"> </w:t>
      </w:r>
      <w:r w:rsidR="008018C6" w:rsidRPr="006D09E0">
        <w:rPr>
          <w:rFonts w:ascii="Verdana" w:hAnsi="Verdana"/>
          <w:b/>
        </w:rPr>
        <w:t xml:space="preserve"> </w:t>
      </w:r>
      <w:r w:rsidRPr="006D09E0">
        <w:rPr>
          <w:rFonts w:ascii="Verdana" w:hAnsi="Verdana"/>
          <w:b/>
        </w:rPr>
        <w:t>These should be edited to fit local circumstances and mitigation actions added</w:t>
      </w:r>
      <w:r w:rsidR="002D3525" w:rsidRPr="006D09E0">
        <w:rPr>
          <w:rFonts w:ascii="Verdana" w:hAnsi="Verdana"/>
          <w:b/>
        </w:rPr>
        <w:t>.</w:t>
      </w:r>
      <w:r w:rsidRPr="006D09E0">
        <w:rPr>
          <w:rFonts w:ascii="Verdana" w:hAnsi="Verdana"/>
          <w:b/>
        </w:rPr>
        <w:t>]</w:t>
      </w:r>
    </w:p>
    <w:p w14:paraId="3975AF3E" w14:textId="4F16B571" w:rsidR="00DB04F3" w:rsidRPr="006D09E0" w:rsidRDefault="00DB04F3" w:rsidP="0016055B">
      <w:pPr>
        <w:spacing w:after="120"/>
        <w:rPr>
          <w:rFonts w:ascii="Verdana" w:hAnsi="Verdana" w:cs="Arial"/>
          <w:b/>
          <w:szCs w:val="22"/>
          <w:u w:val="single"/>
        </w:rPr>
      </w:pPr>
      <w:r w:rsidRPr="006D09E0">
        <w:rPr>
          <w:rFonts w:ascii="Verdana" w:hAnsi="Verdana" w:cs="Arial"/>
          <w:b/>
          <w:szCs w:val="22"/>
          <w:u w:val="single"/>
        </w:rPr>
        <w:t>Risks to successful mobilisation of the FLS</w:t>
      </w:r>
      <w:r w:rsidR="005F5D51" w:rsidRPr="006D09E0">
        <w:rPr>
          <w:rFonts w:ascii="Verdana" w:hAnsi="Verdana" w:cs="Arial"/>
          <w:b/>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302BC0" w:rsidRPr="006D09E0" w14:paraId="04E5FBE6" w14:textId="77777777" w:rsidTr="00233524">
        <w:tc>
          <w:tcPr>
            <w:tcW w:w="3652" w:type="dxa"/>
            <w:shd w:val="clear" w:color="auto" w:fill="D9D9D9" w:themeFill="background1" w:themeFillShade="D9"/>
          </w:tcPr>
          <w:p w14:paraId="72D0C260" w14:textId="77777777" w:rsidR="00302BC0" w:rsidRPr="006D09E0" w:rsidRDefault="00302BC0" w:rsidP="00430332">
            <w:pPr>
              <w:pStyle w:val="ListParagraph"/>
              <w:ind w:left="0"/>
              <w:jc w:val="center"/>
              <w:rPr>
                <w:rFonts w:ascii="Verdana" w:hAnsi="Verdana"/>
                <w:b/>
              </w:rPr>
            </w:pPr>
            <w:r w:rsidRPr="006D09E0">
              <w:rPr>
                <w:rFonts w:ascii="Verdana" w:hAnsi="Verdana"/>
                <w:b/>
              </w:rPr>
              <w:t>Risk</w:t>
            </w:r>
          </w:p>
        </w:tc>
        <w:tc>
          <w:tcPr>
            <w:tcW w:w="5255" w:type="dxa"/>
            <w:shd w:val="clear" w:color="auto" w:fill="D9D9D9" w:themeFill="background1" w:themeFillShade="D9"/>
          </w:tcPr>
          <w:p w14:paraId="4DBDC972" w14:textId="77777777" w:rsidR="00302BC0" w:rsidRPr="006D09E0" w:rsidRDefault="00302BC0" w:rsidP="00430332">
            <w:pPr>
              <w:pStyle w:val="ListParagraph"/>
              <w:ind w:left="0"/>
              <w:jc w:val="center"/>
              <w:rPr>
                <w:rFonts w:ascii="Verdana" w:hAnsi="Verdana"/>
                <w:b/>
              </w:rPr>
            </w:pPr>
            <w:r w:rsidRPr="006D09E0">
              <w:rPr>
                <w:rFonts w:ascii="Verdana" w:hAnsi="Verdana"/>
                <w:b/>
              </w:rPr>
              <w:t>Mitigation</w:t>
            </w:r>
          </w:p>
        </w:tc>
      </w:tr>
      <w:tr w:rsidR="00302BC0" w:rsidRPr="006D09E0" w14:paraId="0A0CAE68" w14:textId="77777777" w:rsidTr="00430332">
        <w:tc>
          <w:tcPr>
            <w:tcW w:w="3652" w:type="dxa"/>
            <w:shd w:val="clear" w:color="auto" w:fill="auto"/>
          </w:tcPr>
          <w:p w14:paraId="05FD6619" w14:textId="2AA55C99" w:rsidR="00302BC0" w:rsidRPr="006D09E0" w:rsidRDefault="00302BC0" w:rsidP="00430332">
            <w:pPr>
              <w:pStyle w:val="ListParagraph"/>
              <w:spacing w:after="120"/>
              <w:ind w:left="0"/>
              <w:rPr>
                <w:rFonts w:ascii="Verdana" w:hAnsi="Verdana"/>
              </w:rPr>
            </w:pPr>
            <w:r w:rsidRPr="006D09E0">
              <w:rPr>
                <w:rFonts w:ascii="Verdana" w:hAnsi="Verdana"/>
              </w:rPr>
              <w:t xml:space="preserve">Suitably qualified staff </w:t>
            </w:r>
            <w:r w:rsidR="00070B6D">
              <w:rPr>
                <w:rFonts w:ascii="Verdana" w:hAnsi="Verdana"/>
              </w:rPr>
              <w:t>are</w:t>
            </w:r>
            <w:r w:rsidRPr="006D09E0">
              <w:rPr>
                <w:rFonts w:ascii="Verdana" w:hAnsi="Verdana"/>
              </w:rPr>
              <w:t xml:space="preserve"> not available through recruitment</w:t>
            </w:r>
          </w:p>
        </w:tc>
        <w:tc>
          <w:tcPr>
            <w:tcW w:w="5255" w:type="dxa"/>
            <w:shd w:val="clear" w:color="auto" w:fill="auto"/>
          </w:tcPr>
          <w:p w14:paraId="654281C1" w14:textId="77777777" w:rsidR="00302BC0" w:rsidRPr="006D09E0" w:rsidRDefault="00302BC0" w:rsidP="00430332">
            <w:pPr>
              <w:pStyle w:val="ListParagraph"/>
              <w:spacing w:after="120"/>
              <w:ind w:left="0"/>
              <w:rPr>
                <w:rFonts w:ascii="Verdana" w:hAnsi="Verdana"/>
              </w:rPr>
            </w:pPr>
            <w:r w:rsidRPr="006D09E0">
              <w:rPr>
                <w:rFonts w:ascii="Verdana" w:hAnsi="Verdana"/>
              </w:rPr>
              <w:t xml:space="preserve">Consider secondment </w:t>
            </w:r>
            <w:proofErr w:type="gramStart"/>
            <w:r w:rsidRPr="006D09E0">
              <w:rPr>
                <w:rFonts w:ascii="Verdana" w:hAnsi="Verdana"/>
              </w:rPr>
              <w:t>opportunities</w:t>
            </w:r>
            <w:proofErr w:type="gramEnd"/>
          </w:p>
          <w:p w14:paraId="43516E75" w14:textId="77777777" w:rsidR="00302BC0" w:rsidRDefault="00302BC0" w:rsidP="00430332">
            <w:pPr>
              <w:pStyle w:val="ListParagraph"/>
              <w:spacing w:after="120"/>
              <w:ind w:left="0"/>
              <w:rPr>
                <w:rFonts w:ascii="Verdana" w:hAnsi="Verdana"/>
              </w:rPr>
            </w:pPr>
            <w:r w:rsidRPr="006D09E0">
              <w:rPr>
                <w:rFonts w:ascii="Verdana" w:hAnsi="Verdana"/>
              </w:rPr>
              <w:t>Research best options for advertisement</w:t>
            </w:r>
          </w:p>
          <w:p w14:paraId="4378BD8D" w14:textId="7FE214D8" w:rsidR="000E280F" w:rsidRPr="006D09E0" w:rsidRDefault="000E280F" w:rsidP="00430332">
            <w:pPr>
              <w:pStyle w:val="ListParagraph"/>
              <w:spacing w:after="120"/>
              <w:ind w:left="0"/>
              <w:rPr>
                <w:rFonts w:ascii="Verdana" w:hAnsi="Verdana"/>
              </w:rPr>
            </w:pPr>
            <w:r>
              <w:rPr>
                <w:rFonts w:ascii="Verdana" w:hAnsi="Verdana"/>
              </w:rPr>
              <w:t xml:space="preserve">Additional training for example the </w:t>
            </w:r>
            <w:hyperlink r:id="rId20" w:history="1">
              <w:r w:rsidRPr="000E280F">
                <w:rPr>
                  <w:rStyle w:val="Hyperlink"/>
                  <w:rFonts w:ascii="Verdana" w:hAnsi="Verdana"/>
                </w:rPr>
                <w:t>Fracture Prevention and Practitioner Training</w:t>
              </w:r>
            </w:hyperlink>
            <w:r>
              <w:rPr>
                <w:rFonts w:ascii="Verdana" w:hAnsi="Verdana"/>
              </w:rPr>
              <w:t xml:space="preserve">. </w:t>
            </w:r>
          </w:p>
        </w:tc>
      </w:tr>
      <w:tr w:rsidR="00302BC0" w:rsidRPr="006D09E0" w14:paraId="28EC2BE5" w14:textId="77777777" w:rsidTr="00430332">
        <w:tc>
          <w:tcPr>
            <w:tcW w:w="3652" w:type="dxa"/>
            <w:shd w:val="clear" w:color="auto" w:fill="auto"/>
          </w:tcPr>
          <w:p w14:paraId="238B79A4" w14:textId="77777777" w:rsidR="00302BC0" w:rsidRPr="006D09E0" w:rsidRDefault="00302BC0" w:rsidP="00430332">
            <w:pPr>
              <w:pStyle w:val="ListParagraph"/>
              <w:spacing w:after="120"/>
              <w:ind w:left="0"/>
              <w:rPr>
                <w:rFonts w:ascii="Verdana" w:hAnsi="Verdana"/>
              </w:rPr>
            </w:pPr>
            <w:r w:rsidRPr="006D09E0">
              <w:rPr>
                <w:rFonts w:ascii="Verdana" w:hAnsi="Verdana"/>
              </w:rPr>
              <w:t>Current facilities not suitable</w:t>
            </w:r>
          </w:p>
        </w:tc>
        <w:tc>
          <w:tcPr>
            <w:tcW w:w="5255" w:type="dxa"/>
            <w:shd w:val="clear" w:color="auto" w:fill="auto"/>
          </w:tcPr>
          <w:p w14:paraId="38C64259" w14:textId="77777777" w:rsidR="00302BC0" w:rsidRPr="006D09E0" w:rsidRDefault="00302BC0" w:rsidP="00430332">
            <w:pPr>
              <w:pStyle w:val="ListParagraph"/>
              <w:spacing w:after="120"/>
              <w:ind w:left="0"/>
              <w:rPr>
                <w:rFonts w:ascii="Verdana" w:hAnsi="Verdana"/>
              </w:rPr>
            </w:pPr>
            <w:r w:rsidRPr="006D09E0">
              <w:rPr>
                <w:rFonts w:ascii="Verdana" w:hAnsi="Verdana"/>
              </w:rPr>
              <w:t>Review alternative service locations</w:t>
            </w:r>
          </w:p>
        </w:tc>
      </w:tr>
      <w:tr w:rsidR="00302BC0" w:rsidRPr="006D09E0" w14:paraId="41DBA320" w14:textId="77777777" w:rsidTr="00430332">
        <w:tc>
          <w:tcPr>
            <w:tcW w:w="3652" w:type="dxa"/>
            <w:shd w:val="clear" w:color="auto" w:fill="auto"/>
          </w:tcPr>
          <w:p w14:paraId="075CC8AF" w14:textId="24DE1EAB" w:rsidR="00302BC0" w:rsidRPr="006D09E0" w:rsidRDefault="00302BC0" w:rsidP="00430332">
            <w:pPr>
              <w:pStyle w:val="ListParagraph"/>
              <w:spacing w:after="120"/>
              <w:ind w:left="0"/>
              <w:rPr>
                <w:rFonts w:ascii="Verdana" w:hAnsi="Verdana"/>
              </w:rPr>
            </w:pPr>
            <w:r w:rsidRPr="006D09E0">
              <w:rPr>
                <w:rFonts w:ascii="Verdana" w:hAnsi="Verdana"/>
              </w:rPr>
              <w:t>DXA capacity may not be adequate to cope with additional demand</w:t>
            </w:r>
          </w:p>
        </w:tc>
        <w:tc>
          <w:tcPr>
            <w:tcW w:w="5255" w:type="dxa"/>
            <w:shd w:val="clear" w:color="auto" w:fill="auto"/>
          </w:tcPr>
          <w:p w14:paraId="0D8BA8E9" w14:textId="77777777" w:rsidR="00302BC0" w:rsidRPr="006D09E0" w:rsidRDefault="00302BC0" w:rsidP="00430332">
            <w:pPr>
              <w:pStyle w:val="ListParagraph"/>
              <w:spacing w:after="120"/>
              <w:ind w:left="0"/>
              <w:rPr>
                <w:rFonts w:ascii="Verdana" w:hAnsi="Verdana"/>
              </w:rPr>
            </w:pPr>
          </w:p>
        </w:tc>
      </w:tr>
      <w:tr w:rsidR="00302BC0" w:rsidRPr="006D09E0" w14:paraId="14E02A19" w14:textId="77777777" w:rsidTr="00430332">
        <w:tc>
          <w:tcPr>
            <w:tcW w:w="3652" w:type="dxa"/>
            <w:shd w:val="clear" w:color="auto" w:fill="auto"/>
          </w:tcPr>
          <w:p w14:paraId="220DCA1C" w14:textId="77777777" w:rsidR="00302BC0" w:rsidRPr="006D09E0" w:rsidRDefault="00302BC0" w:rsidP="00430332">
            <w:pPr>
              <w:pStyle w:val="ListParagraph"/>
              <w:spacing w:after="120"/>
              <w:ind w:left="0"/>
              <w:rPr>
                <w:rFonts w:ascii="Verdana" w:hAnsi="Verdana"/>
                <w:b/>
              </w:rPr>
            </w:pPr>
            <w:r w:rsidRPr="006D09E0">
              <w:rPr>
                <w:rFonts w:ascii="Verdana" w:hAnsi="Verdana"/>
                <w:b/>
              </w:rPr>
              <w:t>[Other risk here]</w:t>
            </w:r>
          </w:p>
        </w:tc>
        <w:tc>
          <w:tcPr>
            <w:tcW w:w="5255" w:type="dxa"/>
            <w:shd w:val="clear" w:color="auto" w:fill="auto"/>
          </w:tcPr>
          <w:p w14:paraId="060F5297" w14:textId="77777777" w:rsidR="00302BC0" w:rsidRPr="006D09E0" w:rsidRDefault="00302BC0" w:rsidP="00430332">
            <w:pPr>
              <w:pStyle w:val="ListParagraph"/>
              <w:spacing w:after="120"/>
              <w:ind w:left="0"/>
              <w:rPr>
                <w:rFonts w:ascii="Verdana" w:hAnsi="Verdana"/>
                <w:b/>
              </w:rPr>
            </w:pPr>
            <w:r w:rsidRPr="006D09E0">
              <w:rPr>
                <w:rFonts w:ascii="Verdana" w:hAnsi="Verdana"/>
                <w:b/>
              </w:rPr>
              <w:t>[Mitigation action here]</w:t>
            </w:r>
          </w:p>
        </w:tc>
      </w:tr>
    </w:tbl>
    <w:p w14:paraId="5A13F863" w14:textId="77777777" w:rsidR="00760877" w:rsidRDefault="00760877" w:rsidP="0016055B">
      <w:pPr>
        <w:spacing w:after="120"/>
        <w:rPr>
          <w:rFonts w:ascii="Verdana" w:hAnsi="Verdana" w:cs="Arial"/>
          <w:b/>
          <w:szCs w:val="22"/>
          <w:u w:val="single"/>
        </w:rPr>
      </w:pPr>
    </w:p>
    <w:p w14:paraId="581C6B3E" w14:textId="1C007EFA" w:rsidR="00DB04F3" w:rsidRPr="006D09E0" w:rsidRDefault="00DB04F3" w:rsidP="0016055B">
      <w:pPr>
        <w:spacing w:after="120"/>
        <w:rPr>
          <w:rFonts w:ascii="Verdana" w:hAnsi="Verdana" w:cs="Arial"/>
          <w:b/>
          <w:szCs w:val="22"/>
          <w:u w:val="single"/>
        </w:rPr>
      </w:pPr>
      <w:r w:rsidRPr="006D09E0">
        <w:rPr>
          <w:rFonts w:ascii="Verdana" w:hAnsi="Verdana" w:cs="Arial"/>
          <w:b/>
          <w:szCs w:val="22"/>
          <w:u w:val="single"/>
        </w:rPr>
        <w:t xml:space="preserve">Risks </w:t>
      </w:r>
      <w:r w:rsidR="00A17E9E" w:rsidRPr="006D09E0">
        <w:rPr>
          <w:rFonts w:ascii="Verdana" w:hAnsi="Verdana" w:cs="Arial"/>
          <w:b/>
          <w:szCs w:val="22"/>
          <w:u w:val="single"/>
        </w:rPr>
        <w:t>following c</w:t>
      </w:r>
      <w:r w:rsidRPr="006D09E0">
        <w:rPr>
          <w:rFonts w:ascii="Verdana" w:hAnsi="Verdana" w:cs="Arial"/>
          <w:b/>
          <w:szCs w:val="22"/>
          <w:u w:val="single"/>
        </w:rPr>
        <w:t xml:space="preserve">ommencement of </w:t>
      </w:r>
      <w:r w:rsidR="00A17E9E" w:rsidRPr="006D09E0">
        <w:rPr>
          <w:rFonts w:ascii="Verdana" w:hAnsi="Verdana" w:cs="Arial"/>
          <w:b/>
          <w:szCs w:val="22"/>
          <w:u w:val="single"/>
        </w:rPr>
        <w:t xml:space="preserve">the </w:t>
      </w:r>
      <w:proofErr w:type="gramStart"/>
      <w:r w:rsidRPr="006D09E0">
        <w:rPr>
          <w:rFonts w:ascii="Verdana" w:hAnsi="Verdana" w:cs="Arial"/>
          <w:b/>
          <w:szCs w:val="22"/>
          <w:u w:val="single"/>
        </w:rPr>
        <w:t>service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255"/>
      </w:tblGrid>
      <w:tr w:rsidR="00430332" w:rsidRPr="006D09E0" w14:paraId="4ED68733" w14:textId="77777777" w:rsidTr="00233524">
        <w:tc>
          <w:tcPr>
            <w:tcW w:w="3652" w:type="dxa"/>
            <w:shd w:val="clear" w:color="auto" w:fill="D9D9D9" w:themeFill="background1" w:themeFillShade="D9"/>
          </w:tcPr>
          <w:p w14:paraId="554B19C4" w14:textId="77777777" w:rsidR="00302BC0" w:rsidRPr="006D09E0" w:rsidRDefault="00302BC0" w:rsidP="00430332">
            <w:pPr>
              <w:pStyle w:val="ListParagraph"/>
              <w:ind w:left="0"/>
              <w:jc w:val="center"/>
              <w:rPr>
                <w:rFonts w:ascii="Verdana" w:hAnsi="Verdana"/>
                <w:b/>
              </w:rPr>
            </w:pPr>
            <w:r w:rsidRPr="006D09E0">
              <w:rPr>
                <w:rFonts w:ascii="Verdana" w:hAnsi="Verdana"/>
                <w:b/>
              </w:rPr>
              <w:t>Risk</w:t>
            </w:r>
          </w:p>
        </w:tc>
        <w:tc>
          <w:tcPr>
            <w:tcW w:w="5255" w:type="dxa"/>
            <w:shd w:val="clear" w:color="auto" w:fill="D9D9D9" w:themeFill="background1" w:themeFillShade="D9"/>
          </w:tcPr>
          <w:p w14:paraId="3D2851CA" w14:textId="77777777" w:rsidR="00302BC0" w:rsidRPr="006D09E0" w:rsidRDefault="00302BC0" w:rsidP="00430332">
            <w:pPr>
              <w:pStyle w:val="ListParagraph"/>
              <w:ind w:left="0"/>
              <w:jc w:val="center"/>
              <w:rPr>
                <w:rFonts w:ascii="Verdana" w:hAnsi="Verdana"/>
                <w:b/>
              </w:rPr>
            </w:pPr>
            <w:r w:rsidRPr="006D09E0">
              <w:rPr>
                <w:rFonts w:ascii="Verdana" w:hAnsi="Verdana"/>
                <w:b/>
              </w:rPr>
              <w:t>Mitigation</w:t>
            </w:r>
          </w:p>
        </w:tc>
      </w:tr>
      <w:tr w:rsidR="00430332" w:rsidRPr="006D09E0" w14:paraId="3DF02A82" w14:textId="77777777" w:rsidTr="00430332">
        <w:tc>
          <w:tcPr>
            <w:tcW w:w="3652" w:type="dxa"/>
            <w:shd w:val="clear" w:color="auto" w:fill="auto"/>
          </w:tcPr>
          <w:p w14:paraId="170DA10C" w14:textId="77777777" w:rsidR="00302BC0" w:rsidRPr="006D09E0" w:rsidRDefault="00302BC0" w:rsidP="00430332">
            <w:pPr>
              <w:pStyle w:val="ListParagraph"/>
              <w:spacing w:after="120"/>
              <w:ind w:left="0"/>
              <w:rPr>
                <w:rFonts w:ascii="Verdana" w:hAnsi="Verdana"/>
              </w:rPr>
            </w:pPr>
            <w:r w:rsidRPr="006D09E0">
              <w:rPr>
                <w:rFonts w:ascii="Verdana" w:hAnsi="Verdana"/>
              </w:rPr>
              <w:t>Patient numbers do not reach the expected levels</w:t>
            </w:r>
          </w:p>
        </w:tc>
        <w:tc>
          <w:tcPr>
            <w:tcW w:w="5255" w:type="dxa"/>
            <w:shd w:val="clear" w:color="auto" w:fill="auto"/>
          </w:tcPr>
          <w:p w14:paraId="00E803F5" w14:textId="77777777" w:rsidR="00302BC0" w:rsidRPr="006D09E0" w:rsidRDefault="00302BC0" w:rsidP="00430332">
            <w:pPr>
              <w:pStyle w:val="ListParagraph"/>
              <w:spacing w:after="120"/>
              <w:ind w:left="0"/>
              <w:rPr>
                <w:rFonts w:ascii="Verdana" w:hAnsi="Verdana"/>
              </w:rPr>
            </w:pPr>
            <w:r w:rsidRPr="006D09E0">
              <w:rPr>
                <w:rFonts w:ascii="Verdana" w:hAnsi="Verdana"/>
              </w:rPr>
              <w:t>Additional communications activities e.g.</w:t>
            </w:r>
          </w:p>
          <w:p w14:paraId="5FEC8320" w14:textId="77777777" w:rsidR="00A47E12" w:rsidRPr="006D09E0" w:rsidRDefault="00302BC0" w:rsidP="00D714A5">
            <w:pPr>
              <w:pStyle w:val="ListParagraph"/>
              <w:numPr>
                <w:ilvl w:val="0"/>
                <w:numId w:val="4"/>
              </w:numPr>
              <w:spacing w:after="120"/>
              <w:rPr>
                <w:rFonts w:ascii="Verdana" w:hAnsi="Verdana"/>
              </w:rPr>
            </w:pPr>
            <w:r w:rsidRPr="006D09E0">
              <w:rPr>
                <w:rFonts w:ascii="Verdana" w:hAnsi="Verdana"/>
              </w:rPr>
              <w:t xml:space="preserve">Secure ‘slot’ at </w:t>
            </w:r>
            <w:r w:rsidR="00A47E12" w:rsidRPr="006D09E0">
              <w:rPr>
                <w:rFonts w:ascii="Verdana" w:hAnsi="Verdana"/>
              </w:rPr>
              <w:t xml:space="preserve">practice learning </w:t>
            </w:r>
            <w:proofErr w:type="gramStart"/>
            <w:r w:rsidR="00A47E12" w:rsidRPr="006D09E0">
              <w:rPr>
                <w:rFonts w:ascii="Verdana" w:hAnsi="Verdana"/>
              </w:rPr>
              <w:t>event</w:t>
            </w:r>
            <w:proofErr w:type="gramEnd"/>
          </w:p>
          <w:p w14:paraId="0F6F5A84" w14:textId="77777777" w:rsidR="00302BC0" w:rsidRPr="006D09E0" w:rsidRDefault="00A47E12" w:rsidP="00D714A5">
            <w:pPr>
              <w:pStyle w:val="ListParagraph"/>
              <w:numPr>
                <w:ilvl w:val="0"/>
                <w:numId w:val="4"/>
              </w:numPr>
              <w:spacing w:after="120"/>
              <w:rPr>
                <w:rFonts w:ascii="Verdana" w:hAnsi="Verdana"/>
              </w:rPr>
            </w:pPr>
            <w:r w:rsidRPr="006D09E0">
              <w:rPr>
                <w:rFonts w:ascii="Verdana" w:hAnsi="Verdana"/>
              </w:rPr>
              <w:t>Arrange meeting with senior fracture clinical nurse and consultant</w:t>
            </w:r>
            <w:r w:rsidR="00302BC0" w:rsidRPr="006D09E0">
              <w:rPr>
                <w:rFonts w:ascii="Verdana" w:hAnsi="Verdana"/>
              </w:rPr>
              <w:t xml:space="preserve"> </w:t>
            </w:r>
          </w:p>
        </w:tc>
      </w:tr>
      <w:tr w:rsidR="00430332" w:rsidRPr="006D09E0" w14:paraId="5D429A7D" w14:textId="77777777" w:rsidTr="00430332">
        <w:tc>
          <w:tcPr>
            <w:tcW w:w="3652" w:type="dxa"/>
            <w:shd w:val="clear" w:color="auto" w:fill="auto"/>
          </w:tcPr>
          <w:p w14:paraId="419B8BAD" w14:textId="77777777" w:rsidR="00302BC0" w:rsidRPr="006D09E0" w:rsidRDefault="00A47E12" w:rsidP="00430332">
            <w:pPr>
              <w:pStyle w:val="ListParagraph"/>
              <w:spacing w:after="120"/>
              <w:ind w:left="0"/>
              <w:rPr>
                <w:rFonts w:ascii="Verdana" w:hAnsi="Verdana"/>
              </w:rPr>
            </w:pPr>
            <w:r w:rsidRPr="006D09E0">
              <w:rPr>
                <w:rFonts w:ascii="Verdana" w:hAnsi="Verdana"/>
              </w:rPr>
              <w:t>Patient numbers exceed the expected levels</w:t>
            </w:r>
          </w:p>
        </w:tc>
        <w:tc>
          <w:tcPr>
            <w:tcW w:w="5255" w:type="dxa"/>
            <w:shd w:val="clear" w:color="auto" w:fill="auto"/>
          </w:tcPr>
          <w:p w14:paraId="074A4C82" w14:textId="77777777" w:rsidR="00302BC0" w:rsidRPr="006D09E0" w:rsidRDefault="00302BC0" w:rsidP="00430332">
            <w:pPr>
              <w:pStyle w:val="ListParagraph"/>
              <w:spacing w:after="120"/>
              <w:ind w:left="0"/>
              <w:rPr>
                <w:rFonts w:ascii="Verdana" w:hAnsi="Verdana"/>
              </w:rPr>
            </w:pPr>
            <w:r w:rsidRPr="006D09E0">
              <w:rPr>
                <w:rFonts w:ascii="Verdana" w:hAnsi="Verdana"/>
              </w:rPr>
              <w:t xml:space="preserve">Review </w:t>
            </w:r>
            <w:r w:rsidR="00A47E12" w:rsidRPr="006D09E0">
              <w:rPr>
                <w:rFonts w:ascii="Verdana" w:hAnsi="Verdana"/>
              </w:rPr>
              <w:t>model estimates</w:t>
            </w:r>
          </w:p>
          <w:p w14:paraId="4865D6D7" w14:textId="77777777" w:rsidR="00A47E12" w:rsidRPr="006D09E0" w:rsidRDefault="00A47E12" w:rsidP="00430332">
            <w:pPr>
              <w:pStyle w:val="ListParagraph"/>
              <w:spacing w:after="120"/>
              <w:ind w:left="0"/>
              <w:rPr>
                <w:rFonts w:ascii="Verdana" w:hAnsi="Verdana"/>
              </w:rPr>
            </w:pPr>
            <w:r w:rsidRPr="006D09E0">
              <w:rPr>
                <w:rFonts w:ascii="Verdana" w:hAnsi="Verdana"/>
              </w:rPr>
              <w:t xml:space="preserve">Consider change to referral </w:t>
            </w:r>
            <w:proofErr w:type="gramStart"/>
            <w:r w:rsidRPr="006D09E0">
              <w:rPr>
                <w:rFonts w:ascii="Verdana" w:hAnsi="Verdana"/>
              </w:rPr>
              <w:t>criteria</w:t>
            </w:r>
            <w:proofErr w:type="gramEnd"/>
          </w:p>
          <w:p w14:paraId="05EFD81E" w14:textId="77777777" w:rsidR="00A47E12" w:rsidRPr="006D09E0" w:rsidRDefault="00A47E12" w:rsidP="00430332">
            <w:pPr>
              <w:pStyle w:val="ListParagraph"/>
              <w:spacing w:after="120"/>
              <w:ind w:left="0"/>
              <w:rPr>
                <w:rFonts w:ascii="Verdana" w:hAnsi="Verdana"/>
              </w:rPr>
            </w:pPr>
            <w:r w:rsidRPr="006D09E0">
              <w:rPr>
                <w:rFonts w:ascii="Verdana" w:hAnsi="Verdana"/>
              </w:rPr>
              <w:t>Consider making request for additional staff</w:t>
            </w:r>
          </w:p>
        </w:tc>
      </w:tr>
      <w:tr w:rsidR="00430332" w:rsidRPr="006D09E0" w14:paraId="151BACD9" w14:textId="77777777" w:rsidTr="00430332">
        <w:tc>
          <w:tcPr>
            <w:tcW w:w="3652" w:type="dxa"/>
            <w:shd w:val="clear" w:color="auto" w:fill="auto"/>
          </w:tcPr>
          <w:p w14:paraId="5F2D91F6" w14:textId="77777777" w:rsidR="00302BC0" w:rsidRPr="006D09E0" w:rsidRDefault="00A47E12" w:rsidP="00430332">
            <w:pPr>
              <w:pStyle w:val="ListParagraph"/>
              <w:spacing w:after="120"/>
              <w:ind w:left="0"/>
              <w:rPr>
                <w:rFonts w:ascii="Verdana" w:hAnsi="Verdana"/>
              </w:rPr>
            </w:pPr>
            <w:r w:rsidRPr="006D09E0">
              <w:rPr>
                <w:rFonts w:ascii="Verdana" w:hAnsi="Verdana"/>
              </w:rPr>
              <w:t>Reduction in expected fracture numbers does not materialise</w:t>
            </w:r>
          </w:p>
        </w:tc>
        <w:tc>
          <w:tcPr>
            <w:tcW w:w="5255" w:type="dxa"/>
            <w:shd w:val="clear" w:color="auto" w:fill="auto"/>
          </w:tcPr>
          <w:p w14:paraId="7245816D" w14:textId="77777777" w:rsidR="00302BC0" w:rsidRPr="006D09E0" w:rsidRDefault="00A47E12" w:rsidP="00430332">
            <w:pPr>
              <w:pStyle w:val="ListParagraph"/>
              <w:spacing w:after="120"/>
              <w:ind w:left="0"/>
              <w:rPr>
                <w:rFonts w:ascii="Verdana" w:hAnsi="Verdana"/>
              </w:rPr>
            </w:pPr>
            <w:r w:rsidRPr="006D09E0">
              <w:rPr>
                <w:rFonts w:ascii="Verdana" w:hAnsi="Verdana"/>
              </w:rPr>
              <w:t xml:space="preserve">Check data collection is </w:t>
            </w:r>
            <w:proofErr w:type="gramStart"/>
            <w:r w:rsidRPr="006D09E0">
              <w:rPr>
                <w:rFonts w:ascii="Verdana" w:hAnsi="Verdana"/>
              </w:rPr>
              <w:t>complete</w:t>
            </w:r>
            <w:proofErr w:type="gramEnd"/>
          </w:p>
          <w:p w14:paraId="6F83247C" w14:textId="77777777" w:rsidR="00A47E12" w:rsidRPr="006D09E0" w:rsidRDefault="00A47E12" w:rsidP="00430332">
            <w:pPr>
              <w:pStyle w:val="ListParagraph"/>
              <w:spacing w:after="120"/>
              <w:ind w:left="0"/>
              <w:rPr>
                <w:rFonts w:ascii="Verdana" w:hAnsi="Verdana"/>
              </w:rPr>
            </w:pPr>
            <w:r w:rsidRPr="006D09E0">
              <w:rPr>
                <w:rFonts w:ascii="Verdana" w:hAnsi="Verdana"/>
              </w:rPr>
              <w:t>Review statistical measures</w:t>
            </w:r>
          </w:p>
        </w:tc>
      </w:tr>
      <w:tr w:rsidR="00430332" w:rsidRPr="006D09E0" w14:paraId="6846FD79" w14:textId="77777777" w:rsidTr="00430332">
        <w:tc>
          <w:tcPr>
            <w:tcW w:w="3652" w:type="dxa"/>
            <w:shd w:val="clear" w:color="auto" w:fill="auto"/>
          </w:tcPr>
          <w:p w14:paraId="61C2C7CA" w14:textId="77777777" w:rsidR="00302BC0" w:rsidRPr="006D09E0" w:rsidRDefault="00302BC0" w:rsidP="00430332">
            <w:pPr>
              <w:pStyle w:val="ListParagraph"/>
              <w:spacing w:after="120"/>
              <w:ind w:left="0"/>
              <w:rPr>
                <w:rFonts w:ascii="Verdana" w:hAnsi="Verdana"/>
                <w:b/>
              </w:rPr>
            </w:pPr>
            <w:r w:rsidRPr="006D09E0">
              <w:rPr>
                <w:rFonts w:ascii="Verdana" w:hAnsi="Verdana"/>
                <w:b/>
              </w:rPr>
              <w:t>[Other risk here]</w:t>
            </w:r>
          </w:p>
        </w:tc>
        <w:tc>
          <w:tcPr>
            <w:tcW w:w="5255" w:type="dxa"/>
            <w:shd w:val="clear" w:color="auto" w:fill="auto"/>
          </w:tcPr>
          <w:p w14:paraId="08776AC0" w14:textId="77777777" w:rsidR="00302BC0" w:rsidRPr="006D09E0" w:rsidRDefault="00302BC0" w:rsidP="00430332">
            <w:pPr>
              <w:pStyle w:val="ListParagraph"/>
              <w:spacing w:after="120"/>
              <w:ind w:left="0"/>
              <w:rPr>
                <w:rFonts w:ascii="Verdana" w:hAnsi="Verdana"/>
                <w:b/>
              </w:rPr>
            </w:pPr>
            <w:r w:rsidRPr="006D09E0">
              <w:rPr>
                <w:rFonts w:ascii="Verdana" w:hAnsi="Verdana"/>
                <w:b/>
              </w:rPr>
              <w:t>[Mitigation action here]</w:t>
            </w:r>
          </w:p>
        </w:tc>
      </w:tr>
    </w:tbl>
    <w:p w14:paraId="78F69063" w14:textId="77777777" w:rsidR="00034CB6" w:rsidRPr="006D09E0" w:rsidRDefault="00034CB6" w:rsidP="00760877">
      <w:pPr>
        <w:pStyle w:val="Heading2"/>
        <w:numPr>
          <w:ilvl w:val="0"/>
          <w:numId w:val="1"/>
        </w:numPr>
        <w:ind w:left="-198" w:hanging="426"/>
        <w:rPr>
          <w:rFonts w:ascii="Verdana" w:hAnsi="Verdana"/>
          <w:sz w:val="28"/>
          <w:szCs w:val="28"/>
        </w:rPr>
      </w:pPr>
      <w:r w:rsidRPr="006D09E0">
        <w:rPr>
          <w:rFonts w:ascii="Verdana" w:hAnsi="Verdana"/>
          <w:sz w:val="28"/>
          <w:szCs w:val="28"/>
        </w:rPr>
        <w:lastRenderedPageBreak/>
        <w:t xml:space="preserve">Recommendations </w:t>
      </w:r>
    </w:p>
    <w:p w14:paraId="7DEEE6AB" w14:textId="534A94D4" w:rsidR="00474434" w:rsidRPr="00971C71" w:rsidRDefault="00D714A5" w:rsidP="00B04F96">
      <w:pPr>
        <w:pStyle w:val="Heading2"/>
        <w:numPr>
          <w:ilvl w:val="0"/>
          <w:numId w:val="6"/>
        </w:numPr>
        <w:jc w:val="both"/>
        <w:rPr>
          <w:rFonts w:ascii="Arial" w:hAnsi="Arial"/>
          <w:b w:val="0"/>
          <w:i/>
          <w:sz w:val="18"/>
          <w:szCs w:val="18"/>
        </w:rPr>
      </w:pPr>
      <w:bookmarkStart w:id="7" w:name="_Toc480812784"/>
      <w:r w:rsidRPr="00971C71">
        <w:rPr>
          <w:rFonts w:ascii="Verdana" w:hAnsi="Verdana"/>
          <w:sz w:val="22"/>
          <w:szCs w:val="22"/>
        </w:rPr>
        <w:t>[</w:t>
      </w:r>
      <w:r w:rsidR="00034CB6" w:rsidRPr="00971C71">
        <w:rPr>
          <w:rFonts w:ascii="Verdana" w:hAnsi="Verdana"/>
          <w:sz w:val="22"/>
          <w:szCs w:val="22"/>
        </w:rPr>
        <w:t xml:space="preserve">The recommendations here will depend entirely on the contents of the business case and what stage you are at. </w:t>
      </w:r>
      <w:r w:rsidR="00E96088" w:rsidRPr="00971C71">
        <w:rPr>
          <w:rFonts w:ascii="Verdana" w:hAnsi="Verdana"/>
          <w:sz w:val="22"/>
          <w:szCs w:val="22"/>
        </w:rPr>
        <w:t xml:space="preserve"> </w:t>
      </w:r>
      <w:r w:rsidR="00034CB6" w:rsidRPr="00971C71">
        <w:rPr>
          <w:rFonts w:ascii="Verdana" w:hAnsi="Verdana"/>
          <w:sz w:val="22"/>
          <w:szCs w:val="22"/>
        </w:rPr>
        <w:t>You need to be clear what</w:t>
      </w:r>
      <w:r w:rsidRPr="00971C71">
        <w:rPr>
          <w:rFonts w:ascii="Verdana" w:hAnsi="Verdana"/>
          <w:sz w:val="22"/>
          <w:szCs w:val="22"/>
        </w:rPr>
        <w:t xml:space="preserve"> you are asking from your Senior</w:t>
      </w:r>
      <w:r w:rsidR="00034CB6" w:rsidRPr="00971C71">
        <w:rPr>
          <w:rFonts w:ascii="Verdana" w:hAnsi="Verdana"/>
          <w:sz w:val="22"/>
          <w:szCs w:val="22"/>
        </w:rPr>
        <w:t xml:space="preserve"> Management Team or Commissioners</w:t>
      </w:r>
      <w:r w:rsidRPr="00971C71">
        <w:rPr>
          <w:rFonts w:ascii="Verdana" w:hAnsi="Verdana"/>
          <w:sz w:val="22"/>
          <w:szCs w:val="22"/>
        </w:rPr>
        <w:t>]</w:t>
      </w:r>
      <w:r w:rsidR="00034CB6" w:rsidRPr="00971C71">
        <w:rPr>
          <w:rFonts w:ascii="Verdana" w:hAnsi="Verdana"/>
          <w:sz w:val="22"/>
          <w:szCs w:val="22"/>
        </w:rPr>
        <w:t>.</w:t>
      </w:r>
      <w:bookmarkStart w:id="8" w:name="_Toc480812779"/>
      <w:bookmarkEnd w:id="7"/>
    </w:p>
    <w:p w14:paraId="0D70216B" w14:textId="77777777" w:rsidR="00474434" w:rsidRDefault="00474434" w:rsidP="00474434">
      <w:pPr>
        <w:pStyle w:val="Heading2"/>
        <w:ind w:left="229"/>
        <w:jc w:val="both"/>
        <w:rPr>
          <w:rFonts w:ascii="Arial" w:hAnsi="Arial"/>
          <w:b w:val="0"/>
          <w:i/>
          <w:sz w:val="18"/>
          <w:szCs w:val="18"/>
        </w:rPr>
      </w:pPr>
    </w:p>
    <w:p w14:paraId="2DF5F034" w14:textId="77777777" w:rsidR="00474434" w:rsidRDefault="00474434" w:rsidP="00474434">
      <w:pPr>
        <w:pStyle w:val="Heading2"/>
        <w:ind w:left="229"/>
        <w:jc w:val="both"/>
        <w:rPr>
          <w:rFonts w:ascii="Arial" w:hAnsi="Arial"/>
          <w:b w:val="0"/>
          <w:i/>
          <w:sz w:val="18"/>
          <w:szCs w:val="18"/>
        </w:rPr>
      </w:pPr>
    </w:p>
    <w:p w14:paraId="3692666A" w14:textId="77777777" w:rsidR="00474434" w:rsidRDefault="00474434" w:rsidP="00474434">
      <w:pPr>
        <w:pStyle w:val="Heading2"/>
        <w:ind w:left="229"/>
        <w:jc w:val="both"/>
        <w:rPr>
          <w:rFonts w:ascii="Arial" w:hAnsi="Arial"/>
          <w:b w:val="0"/>
          <w:i/>
          <w:sz w:val="18"/>
          <w:szCs w:val="18"/>
        </w:rPr>
      </w:pPr>
    </w:p>
    <w:p w14:paraId="3E14C823" w14:textId="77777777" w:rsidR="00474434" w:rsidRDefault="00474434" w:rsidP="00474434">
      <w:pPr>
        <w:pStyle w:val="Heading2"/>
        <w:ind w:left="229"/>
        <w:jc w:val="both"/>
        <w:rPr>
          <w:rFonts w:ascii="Arial" w:hAnsi="Arial"/>
          <w:b w:val="0"/>
          <w:i/>
          <w:sz w:val="18"/>
          <w:szCs w:val="18"/>
        </w:rPr>
      </w:pPr>
    </w:p>
    <w:p w14:paraId="6E57B817" w14:textId="77777777" w:rsidR="00474434" w:rsidRDefault="00474434" w:rsidP="00474434">
      <w:pPr>
        <w:pStyle w:val="Heading2"/>
        <w:ind w:left="229"/>
        <w:jc w:val="both"/>
        <w:rPr>
          <w:rFonts w:ascii="Arial" w:hAnsi="Arial"/>
          <w:b w:val="0"/>
          <w:i/>
          <w:sz w:val="18"/>
          <w:szCs w:val="18"/>
        </w:rPr>
      </w:pPr>
    </w:p>
    <w:p w14:paraId="0EDEC05A" w14:textId="77777777" w:rsidR="00474434" w:rsidRDefault="00474434" w:rsidP="00474434">
      <w:pPr>
        <w:pStyle w:val="Heading2"/>
        <w:ind w:left="229"/>
        <w:jc w:val="both"/>
        <w:rPr>
          <w:rFonts w:ascii="Arial" w:hAnsi="Arial"/>
          <w:b w:val="0"/>
          <w:i/>
          <w:sz w:val="18"/>
          <w:szCs w:val="18"/>
        </w:rPr>
      </w:pPr>
    </w:p>
    <w:p w14:paraId="3855AE68" w14:textId="77777777" w:rsidR="00474434" w:rsidRDefault="00474434" w:rsidP="00474434">
      <w:pPr>
        <w:pStyle w:val="Heading2"/>
        <w:ind w:left="229"/>
        <w:jc w:val="both"/>
        <w:rPr>
          <w:rFonts w:ascii="Arial" w:hAnsi="Arial"/>
          <w:b w:val="0"/>
          <w:i/>
          <w:sz w:val="18"/>
          <w:szCs w:val="18"/>
        </w:rPr>
      </w:pPr>
    </w:p>
    <w:p w14:paraId="79A08E19" w14:textId="672750D1" w:rsidR="00474434" w:rsidRDefault="00474434" w:rsidP="00474434">
      <w:pPr>
        <w:pStyle w:val="Heading2"/>
        <w:ind w:left="229"/>
        <w:jc w:val="both"/>
        <w:rPr>
          <w:rFonts w:ascii="Arial" w:hAnsi="Arial"/>
          <w:b w:val="0"/>
          <w:i/>
          <w:sz w:val="18"/>
          <w:szCs w:val="18"/>
        </w:rPr>
      </w:pPr>
    </w:p>
    <w:p w14:paraId="6A5460C7" w14:textId="42119FFD" w:rsidR="00C70417" w:rsidRDefault="00C70417" w:rsidP="00C70417"/>
    <w:p w14:paraId="393383C1" w14:textId="08524A99" w:rsidR="00C70417" w:rsidRDefault="00C70417" w:rsidP="00C70417"/>
    <w:p w14:paraId="58048DFF" w14:textId="41C8553D" w:rsidR="00C70417" w:rsidRDefault="00C70417" w:rsidP="00C70417"/>
    <w:p w14:paraId="3D7AEAB0" w14:textId="2F8A4080" w:rsidR="00C70417" w:rsidRDefault="00C70417" w:rsidP="00C70417"/>
    <w:p w14:paraId="65D92AD1" w14:textId="574C763B" w:rsidR="00C70417" w:rsidRDefault="00C70417" w:rsidP="00C70417"/>
    <w:p w14:paraId="2B609B43" w14:textId="34312D69" w:rsidR="00C70417" w:rsidRDefault="00C70417" w:rsidP="00C70417"/>
    <w:p w14:paraId="5DA7E757" w14:textId="0D62D86A" w:rsidR="00C70417" w:rsidRDefault="00C70417" w:rsidP="00C70417"/>
    <w:p w14:paraId="24150BE3" w14:textId="45D1F6D8" w:rsidR="00C70417" w:rsidRDefault="00C70417" w:rsidP="00C70417"/>
    <w:p w14:paraId="22F78620" w14:textId="0CE1424F" w:rsidR="002756E7" w:rsidRDefault="002756E7" w:rsidP="00C70417"/>
    <w:p w14:paraId="38B98B85" w14:textId="412A3759" w:rsidR="002756E7" w:rsidRDefault="002756E7" w:rsidP="00C70417"/>
    <w:p w14:paraId="0B9A167F" w14:textId="315DAC5A" w:rsidR="002756E7" w:rsidRDefault="002756E7" w:rsidP="00C70417"/>
    <w:p w14:paraId="71A9C498" w14:textId="18E7FB80" w:rsidR="002756E7" w:rsidRDefault="002756E7" w:rsidP="00C70417"/>
    <w:p w14:paraId="16A80FC8" w14:textId="48721A90" w:rsidR="002756E7" w:rsidRDefault="002756E7" w:rsidP="00C70417"/>
    <w:p w14:paraId="5C71D4E9" w14:textId="1601DD3E" w:rsidR="002756E7" w:rsidRDefault="002756E7" w:rsidP="00C70417"/>
    <w:p w14:paraId="60914AE5" w14:textId="40F315F2" w:rsidR="002756E7" w:rsidRDefault="002756E7" w:rsidP="00C70417"/>
    <w:p w14:paraId="489DCE30" w14:textId="68FBE924" w:rsidR="002756E7" w:rsidRDefault="002756E7" w:rsidP="00C70417"/>
    <w:p w14:paraId="232C04E3" w14:textId="6AC44723" w:rsidR="002756E7" w:rsidRDefault="002756E7" w:rsidP="00C70417"/>
    <w:p w14:paraId="06E9FF48" w14:textId="59F3207B" w:rsidR="002756E7" w:rsidRDefault="002756E7" w:rsidP="00C70417"/>
    <w:p w14:paraId="5F31F8C8" w14:textId="1B21F24A" w:rsidR="002756E7" w:rsidRDefault="002756E7" w:rsidP="00C70417"/>
    <w:p w14:paraId="0058CE5D" w14:textId="69F17237" w:rsidR="002756E7" w:rsidRDefault="002756E7" w:rsidP="00C70417"/>
    <w:p w14:paraId="6EB79D2B" w14:textId="15156625" w:rsidR="002756E7" w:rsidRDefault="002756E7" w:rsidP="00C70417"/>
    <w:p w14:paraId="70FC6617" w14:textId="1DE57998" w:rsidR="002756E7" w:rsidRDefault="002756E7" w:rsidP="00C70417"/>
    <w:p w14:paraId="07766BCD" w14:textId="6512580F" w:rsidR="002756E7" w:rsidRDefault="002756E7" w:rsidP="00C70417"/>
    <w:p w14:paraId="0BC92752" w14:textId="3EF62F89" w:rsidR="002756E7" w:rsidRDefault="002756E7" w:rsidP="00C70417"/>
    <w:p w14:paraId="058A5DD6" w14:textId="283E7DA9" w:rsidR="002756E7" w:rsidRDefault="002756E7" w:rsidP="00C70417"/>
    <w:p w14:paraId="0067889A" w14:textId="1EF02502" w:rsidR="002756E7" w:rsidRDefault="002756E7" w:rsidP="00C70417"/>
    <w:p w14:paraId="73A6E3D7" w14:textId="77777777" w:rsidR="002756E7" w:rsidRDefault="002756E7" w:rsidP="00C70417"/>
    <w:p w14:paraId="00FFFECC" w14:textId="77DE9BD7" w:rsidR="00C70417" w:rsidRDefault="00C70417" w:rsidP="00C70417"/>
    <w:p w14:paraId="5271CDCE" w14:textId="4B2CD750" w:rsidR="00030248" w:rsidRDefault="00030248" w:rsidP="00E162D3">
      <w:pPr>
        <w:pStyle w:val="Heading2"/>
        <w:ind w:left="0"/>
        <w:jc w:val="both"/>
        <w:rPr>
          <w:rFonts w:ascii="Arial" w:hAnsi="Arial"/>
          <w:b w:val="0"/>
          <w:i/>
          <w:sz w:val="18"/>
          <w:szCs w:val="18"/>
        </w:rPr>
      </w:pPr>
      <w:r w:rsidRPr="0022376E">
        <w:rPr>
          <w:rFonts w:ascii="Arial" w:hAnsi="Arial"/>
          <w:b w:val="0"/>
          <w:i/>
          <w:sz w:val="18"/>
          <w:szCs w:val="18"/>
        </w:rPr>
        <w:t xml:space="preserve">Additional detail and references </w:t>
      </w:r>
      <w:r w:rsidR="00A70592">
        <w:rPr>
          <w:rFonts w:ascii="Arial" w:hAnsi="Arial"/>
          <w:b w:val="0"/>
          <w:i/>
          <w:sz w:val="18"/>
          <w:szCs w:val="18"/>
        </w:rPr>
        <w:t>are</w:t>
      </w:r>
      <w:r w:rsidRPr="0022376E">
        <w:rPr>
          <w:rFonts w:ascii="Arial" w:hAnsi="Arial"/>
          <w:b w:val="0"/>
          <w:i/>
          <w:sz w:val="18"/>
          <w:szCs w:val="18"/>
        </w:rPr>
        <w:t xml:space="preserve"> available for all figures supplied by the </w:t>
      </w:r>
      <w:r w:rsidR="00E32219">
        <w:rPr>
          <w:rFonts w:ascii="Arial" w:hAnsi="Arial"/>
          <w:b w:val="0"/>
          <w:i/>
          <w:sz w:val="18"/>
          <w:szCs w:val="18"/>
        </w:rPr>
        <w:t>Roy</w:t>
      </w:r>
      <w:r w:rsidRPr="0022376E">
        <w:rPr>
          <w:rFonts w:ascii="Arial" w:hAnsi="Arial"/>
          <w:b w:val="0"/>
          <w:i/>
          <w:sz w:val="18"/>
          <w:szCs w:val="18"/>
        </w:rPr>
        <w:t xml:space="preserve">al Osteoporosis Society.  Note that for any information supplied by the </w:t>
      </w:r>
      <w:r w:rsidR="00E32219">
        <w:rPr>
          <w:rFonts w:ascii="Arial" w:hAnsi="Arial"/>
          <w:b w:val="0"/>
          <w:i/>
          <w:sz w:val="18"/>
          <w:szCs w:val="18"/>
        </w:rPr>
        <w:t>Roy</w:t>
      </w:r>
      <w:r w:rsidRPr="0022376E">
        <w:rPr>
          <w:rFonts w:ascii="Arial" w:hAnsi="Arial"/>
          <w:b w:val="0"/>
          <w:i/>
          <w:sz w:val="18"/>
          <w:szCs w:val="18"/>
        </w:rPr>
        <w:t xml:space="preserve">al Osteoporosis Society there is no guarantee as to the accuracy of the or reliability of any information contained in this report and use of the information contained is at the user’s risk and no liability whatsoever is accepted by the </w:t>
      </w:r>
      <w:r w:rsidR="00E32219">
        <w:rPr>
          <w:rFonts w:ascii="Arial" w:hAnsi="Arial"/>
          <w:b w:val="0"/>
          <w:i/>
          <w:sz w:val="18"/>
          <w:szCs w:val="18"/>
        </w:rPr>
        <w:t>Roy</w:t>
      </w:r>
      <w:r w:rsidRPr="0022376E">
        <w:rPr>
          <w:rFonts w:ascii="Arial" w:hAnsi="Arial"/>
          <w:b w:val="0"/>
          <w:i/>
          <w:sz w:val="18"/>
          <w:szCs w:val="18"/>
        </w:rPr>
        <w:t>al Osteoporosis Society.</w:t>
      </w:r>
      <w:bookmarkEnd w:id="8"/>
    </w:p>
    <w:p w14:paraId="124D00BE" w14:textId="77777777" w:rsidR="00760877" w:rsidRPr="00760877" w:rsidRDefault="00760877" w:rsidP="00760877"/>
    <w:p w14:paraId="3341D559" w14:textId="77777777" w:rsidR="00E162D3" w:rsidRPr="00E162D3" w:rsidRDefault="00E162D3" w:rsidP="00E162D3"/>
    <w:sectPr w:rsidR="00E162D3" w:rsidRPr="00E162D3" w:rsidSect="004E38A7">
      <w:headerReference w:type="default" r:id="rId21"/>
      <w:footerReference w:type="even" r:id="rId22"/>
      <w:footerReference w:type="default" r:id="rId23"/>
      <w:endnotePr>
        <w:numFmt w:val="decimal"/>
      </w:endnotePr>
      <w:pgSz w:w="11906" w:h="16838"/>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B3ED" w14:textId="77777777" w:rsidR="00F81852" w:rsidRDefault="00F81852" w:rsidP="006A3439">
      <w:r>
        <w:separator/>
      </w:r>
    </w:p>
  </w:endnote>
  <w:endnote w:type="continuationSeparator" w:id="0">
    <w:p w14:paraId="0A1BB951" w14:textId="77777777" w:rsidR="00F81852" w:rsidRDefault="00F81852" w:rsidP="006A3439">
      <w:r>
        <w:continuationSeparator/>
      </w:r>
    </w:p>
  </w:endnote>
  <w:endnote w:id="1">
    <w:p w14:paraId="640D1FB0" w14:textId="77777777" w:rsidR="00D04A8A" w:rsidRPr="00994EC4" w:rsidRDefault="00D04A8A" w:rsidP="00D04A8A">
      <w:pPr>
        <w:pStyle w:val="EndnoteText"/>
        <w:rPr>
          <w:rFonts w:ascii="Verdana" w:hAnsi="Verdana" w:cs="Arial"/>
          <w:b/>
          <w:color w:val="009966"/>
          <w:sz w:val="24"/>
          <w:szCs w:val="24"/>
        </w:rPr>
      </w:pPr>
      <w:r w:rsidRPr="00994EC4">
        <w:rPr>
          <w:rFonts w:ascii="Verdana" w:hAnsi="Verdana" w:cs="Arial"/>
          <w:b/>
          <w:color w:val="009966"/>
          <w:sz w:val="24"/>
          <w:szCs w:val="24"/>
        </w:rPr>
        <w:t xml:space="preserve">References: </w:t>
      </w:r>
    </w:p>
    <w:p w14:paraId="2F0B2B8F" w14:textId="4788885E" w:rsidR="00704E7B" w:rsidRDefault="00704E7B" w:rsidP="00704E7B">
      <w:pPr>
        <w:spacing w:before="60" w:after="60"/>
      </w:pPr>
      <w:r>
        <w:rPr>
          <w:rStyle w:val="EndnoteReference"/>
        </w:rPr>
        <w:endnoteRef/>
      </w:r>
      <w: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1"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2">
    <w:p w14:paraId="5A92E909" w14:textId="77777777" w:rsidR="00704E7B" w:rsidRDefault="00704E7B" w:rsidP="00704E7B">
      <w:pPr>
        <w:spacing w:before="60" w:after="60"/>
      </w:pPr>
      <w:r>
        <w:rPr>
          <w:rStyle w:val="EndnoteReference"/>
        </w:rPr>
        <w:endnoteRef/>
      </w:r>
      <w: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2"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3">
    <w:p w14:paraId="5102E12D" w14:textId="77777777" w:rsidR="00704E7B" w:rsidRPr="001326A9" w:rsidRDefault="00704E7B" w:rsidP="00704E7B">
      <w:pPr>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3"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4">
    <w:p w14:paraId="76854C31" w14:textId="77777777" w:rsidR="00704E7B" w:rsidRPr="001326A9" w:rsidRDefault="00704E7B" w:rsidP="00704E7B">
      <w:pPr>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4"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5">
    <w:p w14:paraId="72C8F3A0" w14:textId="77777777" w:rsidR="00704E7B" w:rsidRPr="003632B0" w:rsidRDefault="00704E7B" w:rsidP="00704E7B">
      <w:pPr>
        <w:pStyle w:val="EndnoteText"/>
        <w:spacing w:before="60" w:after="60"/>
        <w:rPr>
          <w:rFonts w:ascii="Verdana" w:hAnsi="Verdana"/>
          <w:sz w:val="18"/>
          <w:szCs w:val="18"/>
        </w:rPr>
      </w:pPr>
      <w:r w:rsidRPr="003632B0">
        <w:rPr>
          <w:rStyle w:val="EndnoteReference"/>
          <w:rFonts w:ascii="Verdana" w:hAnsi="Verdana"/>
          <w:sz w:val="18"/>
          <w:szCs w:val="18"/>
        </w:rPr>
        <w:endnoteRef/>
      </w:r>
      <w:r w:rsidRPr="003632B0">
        <w:rPr>
          <w:rFonts w:ascii="Verdana" w:hAnsi="Verdana"/>
          <w:sz w:val="18"/>
          <w:szCs w:val="18"/>
        </w:rPr>
        <w:t xml:space="preserve"> </w:t>
      </w:r>
      <w:r w:rsidRPr="001326A9">
        <w:rPr>
          <w:rFonts w:ascii="Verdana" w:hAnsi="Verdana" w:cs="Arial"/>
          <w:sz w:val="18"/>
          <w:szCs w:val="18"/>
        </w:rPr>
        <w:t>Skelton D</w:t>
      </w:r>
      <w:r>
        <w:rPr>
          <w:rFonts w:ascii="Verdana" w:hAnsi="Verdana" w:cs="Arial"/>
          <w:sz w:val="18"/>
          <w:szCs w:val="18"/>
        </w:rPr>
        <w:t>,</w:t>
      </w:r>
      <w:r w:rsidRPr="001326A9">
        <w:rPr>
          <w:rFonts w:ascii="Verdana" w:hAnsi="Verdana" w:cs="Arial"/>
          <w:sz w:val="18"/>
          <w:szCs w:val="18"/>
        </w:rPr>
        <w:t xml:space="preserve"> Neil F (2009). </w:t>
      </w:r>
      <w:r w:rsidRPr="004A5FB6">
        <w:rPr>
          <w:rFonts w:ascii="Verdana" w:hAnsi="Verdana" w:cs="Arial"/>
          <w:i/>
          <w:iCs/>
          <w:sz w:val="18"/>
          <w:szCs w:val="18"/>
        </w:rPr>
        <w:t>‘NHS Greater Glasgow and Clyde Strategy for Osteoporosis and Falls Prevention 2006-2010: An evaluation 2007-2009’</w:t>
      </w:r>
      <w:r w:rsidRPr="001326A9">
        <w:rPr>
          <w:rFonts w:ascii="Verdana" w:hAnsi="Verdana" w:cs="Arial"/>
          <w:sz w:val="18"/>
          <w:szCs w:val="18"/>
        </w:rPr>
        <w:t>.</w:t>
      </w:r>
      <w:r>
        <w:rPr>
          <w:rFonts w:ascii="Verdana" w:hAnsi="Verdana" w:cs="Arial"/>
          <w:sz w:val="18"/>
          <w:szCs w:val="18"/>
        </w:rPr>
        <w:t xml:space="preserve"> Available at: </w:t>
      </w:r>
      <w:hyperlink r:id="rId5" w:history="1">
        <w:r w:rsidRPr="0005413C">
          <w:rPr>
            <w:rStyle w:val="Hyperlink"/>
            <w:rFonts w:ascii="Verdana" w:hAnsi="Verdana"/>
            <w:sz w:val="18"/>
            <w:szCs w:val="18"/>
          </w:rPr>
          <w:t>http://library.nhsggc.org.uk/mediaAssets/OFPS/NHSGGC%20Strategy%20for%20Osteoporosis%20and%20Falls%20Prevention%2020062010_An%20Evaluation_Skelton%20and%20Neil%202009.pdf</w:t>
        </w:r>
      </w:hyperlink>
      <w:r>
        <w:rPr>
          <w:rFonts w:ascii="Verdana" w:hAnsi="Verdana"/>
          <w:sz w:val="18"/>
          <w:szCs w:val="18"/>
        </w:rPr>
        <w:t xml:space="preserve">  (accessed March 2020)</w:t>
      </w:r>
    </w:p>
  </w:endnote>
  <w:endnote w:id="6">
    <w:p w14:paraId="22373CD5" w14:textId="77777777" w:rsidR="00704E7B" w:rsidRPr="001326A9" w:rsidRDefault="00704E7B" w:rsidP="00704E7B">
      <w:pPr>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Royal Osteoporosis Society FLS Benefits Calculator available at: </w:t>
      </w:r>
      <w:hyperlink r:id="rId6" w:history="1">
        <w:r w:rsidRPr="001326A9">
          <w:rPr>
            <w:rStyle w:val="Hyperlink"/>
            <w:rFonts w:ascii="Verdana" w:hAnsi="Verdana"/>
            <w:sz w:val="18"/>
            <w:szCs w:val="18"/>
          </w:rPr>
          <w:t>https://theros.org.uk/healthcare-professionals/fracture-liaison-services/implementation-toolkit/</w:t>
        </w:r>
      </w:hyperlink>
    </w:p>
  </w:endnote>
  <w:endnote w:id="7">
    <w:p w14:paraId="3C258D06" w14:textId="77777777" w:rsidR="00704E7B" w:rsidRPr="00250DE6" w:rsidRDefault="00704E7B" w:rsidP="00704E7B">
      <w:pPr>
        <w:pStyle w:val="EndnoteText"/>
        <w:spacing w:after="200"/>
        <w:rPr>
          <w:rFonts w:ascii="Verdana" w:hAnsi="Verdana"/>
          <w:sz w:val="18"/>
          <w:szCs w:val="18"/>
        </w:rPr>
      </w:pPr>
      <w:r>
        <w:rPr>
          <w:rStyle w:val="EndnoteReference"/>
        </w:rPr>
        <w:endnoteRef/>
      </w:r>
      <w:r>
        <w:t xml:space="preserve"> </w:t>
      </w:r>
      <w:r w:rsidRPr="001326A9">
        <w:rPr>
          <w:rFonts w:ascii="Verdana" w:hAnsi="Verdana"/>
          <w:sz w:val="18"/>
          <w:szCs w:val="18"/>
        </w:rPr>
        <w:t>McLellan AR</w:t>
      </w:r>
      <w:r>
        <w:rPr>
          <w:rFonts w:ascii="Verdana" w:hAnsi="Verdana"/>
          <w:sz w:val="18"/>
          <w:szCs w:val="18"/>
        </w:rPr>
        <w:t xml:space="preserve">, Wolowacz SE, Zimovetz EA, Beard SM, Lock S, McCrink L, Adekunle F, Roberts D </w:t>
      </w:r>
      <w:r w:rsidRPr="001326A9">
        <w:rPr>
          <w:rFonts w:ascii="Verdana" w:hAnsi="Verdana"/>
          <w:sz w:val="18"/>
          <w:szCs w:val="18"/>
        </w:rPr>
        <w:t xml:space="preserve"> (2011) </w:t>
      </w:r>
      <w:r w:rsidRPr="00A2461A">
        <w:rPr>
          <w:rFonts w:ascii="Verdana" w:hAnsi="Verdana"/>
          <w:i/>
          <w:iCs/>
          <w:sz w:val="18"/>
          <w:szCs w:val="18"/>
        </w:rPr>
        <w:t>‘Fracture Liaison Services for the evaluation and management of patients with osteoporotic fracture: a cost effective evaluation based on data collected over 8 years of service provision’</w:t>
      </w:r>
      <w:r w:rsidRPr="001326A9">
        <w:rPr>
          <w:rFonts w:ascii="Verdana" w:hAnsi="Verdana"/>
          <w:sz w:val="18"/>
          <w:szCs w:val="18"/>
        </w:rPr>
        <w:t xml:space="preserve">. </w:t>
      </w:r>
      <w:r w:rsidRPr="008F0828">
        <w:rPr>
          <w:rFonts w:ascii="Verdana" w:hAnsi="Verdana"/>
          <w:iCs/>
          <w:sz w:val="18"/>
          <w:szCs w:val="18"/>
        </w:rPr>
        <w:t>Osteoporosis Int</w:t>
      </w:r>
      <w:r>
        <w:rPr>
          <w:rFonts w:ascii="Verdana" w:hAnsi="Verdana"/>
          <w:iCs/>
          <w:sz w:val="18"/>
          <w:szCs w:val="18"/>
        </w:rPr>
        <w:t>ernational</w:t>
      </w:r>
      <w:r w:rsidRPr="001326A9">
        <w:rPr>
          <w:rFonts w:ascii="Verdana" w:hAnsi="Verdana"/>
          <w:sz w:val="18"/>
          <w:szCs w:val="18"/>
        </w:rPr>
        <w:t xml:space="preserve"> 22</w:t>
      </w:r>
      <w:r>
        <w:rPr>
          <w:rFonts w:ascii="Verdana" w:hAnsi="Verdana"/>
          <w:sz w:val="18"/>
          <w:szCs w:val="18"/>
        </w:rPr>
        <w:t>(7), pp</w:t>
      </w:r>
      <w:r w:rsidRPr="001326A9">
        <w:rPr>
          <w:rFonts w:ascii="Verdana" w:hAnsi="Verdana"/>
          <w:sz w:val="18"/>
          <w:szCs w:val="18"/>
        </w:rPr>
        <w:t>2083–</w:t>
      </w:r>
      <w:r>
        <w:rPr>
          <w:rFonts w:ascii="Verdana" w:hAnsi="Verdana"/>
          <w:sz w:val="18"/>
          <w:szCs w:val="18"/>
        </w:rPr>
        <w:t>20</w:t>
      </w:r>
      <w:r w:rsidRPr="001326A9">
        <w:rPr>
          <w:rFonts w:ascii="Verdana" w:hAnsi="Verdana"/>
          <w:sz w:val="18"/>
          <w:szCs w:val="18"/>
        </w:rPr>
        <w:t>98</w:t>
      </w:r>
    </w:p>
  </w:endnote>
  <w:endnote w:id="8">
    <w:p w14:paraId="079FEA43" w14:textId="77777777" w:rsidR="00704E7B" w:rsidRPr="00237B19" w:rsidRDefault="00704E7B" w:rsidP="00704E7B">
      <w:pPr>
        <w:spacing w:before="60" w:after="60"/>
        <w:rPr>
          <w:rFonts w:ascii="Verdana" w:hAnsi="Verdana"/>
          <w:sz w:val="18"/>
          <w:szCs w:val="18"/>
        </w:rPr>
      </w:pPr>
      <w:r>
        <w:rPr>
          <w:rStyle w:val="EndnoteReference"/>
        </w:rPr>
        <w:endnoteRef/>
      </w:r>
      <w:r>
        <w:t xml:space="preserve"> </w:t>
      </w:r>
      <w:r>
        <w:rPr>
          <w:rFonts w:ascii="Verdana" w:hAnsi="Verdana"/>
          <w:sz w:val="18"/>
          <w:szCs w:val="18"/>
        </w:rPr>
        <w:t>Roy</w:t>
      </w:r>
      <w:r w:rsidRPr="003632B0">
        <w:rPr>
          <w:rFonts w:ascii="Verdana" w:hAnsi="Verdana"/>
          <w:sz w:val="18"/>
          <w:szCs w:val="18"/>
        </w:rPr>
        <w:t xml:space="preserve">al Osteoporosis Society FLS Benefits Calculator available at: </w:t>
      </w:r>
      <w:hyperlink r:id="rId7" w:history="1">
        <w:r>
          <w:rPr>
            <w:rStyle w:val="Hyperlink"/>
          </w:rPr>
          <w:t>https://theros.org.uk/healthcare-professionals/fracture-liaison-services/implementation-toolkit/</w:t>
        </w:r>
      </w:hyperlink>
    </w:p>
  </w:endnote>
  <w:endnote w:id="9">
    <w:p w14:paraId="74D34656" w14:textId="77777777" w:rsidR="00704E7B" w:rsidRPr="00994EC4" w:rsidRDefault="00704E7B" w:rsidP="00704E7B">
      <w:pPr>
        <w:pStyle w:val="EndnoteText"/>
      </w:pPr>
      <w:r>
        <w:rPr>
          <w:rStyle w:val="EndnoteReference"/>
        </w:rPr>
        <w:endnoteRef/>
      </w:r>
      <w:r>
        <w:t xml:space="preserve">  </w:t>
      </w:r>
      <w:r w:rsidRPr="00D647E8">
        <w:rPr>
          <w:rFonts w:ascii="Verdana" w:hAnsi="Verdana"/>
          <w:sz w:val="18"/>
          <w:szCs w:val="18"/>
        </w:rPr>
        <w:t>Kanis JA, Oden A, Johnell O et al. (2001</w:t>
      </w:r>
      <w:r w:rsidRPr="0068166F">
        <w:rPr>
          <w:rFonts w:ascii="Verdana" w:hAnsi="Verdana"/>
          <w:i/>
          <w:iCs/>
          <w:sz w:val="18"/>
          <w:szCs w:val="18"/>
        </w:rPr>
        <w:t>) ‘The burden of osteoporotic fractures: a method for setting intervention thresholds’</w:t>
      </w:r>
      <w:r w:rsidRPr="00D647E8">
        <w:rPr>
          <w:rFonts w:ascii="Verdana" w:hAnsi="Verdana"/>
          <w:sz w:val="18"/>
          <w:szCs w:val="18"/>
        </w:rPr>
        <w:t>. Osteoporosis International 12: 417–27.</w:t>
      </w:r>
    </w:p>
  </w:endnote>
  <w:endnote w:id="10">
    <w:p w14:paraId="683E48C0" w14:textId="77777777" w:rsidR="00704E7B" w:rsidRPr="001326A9" w:rsidRDefault="00704E7B" w:rsidP="00704E7B">
      <w:pPr>
        <w:pStyle w:val="EndnoteText"/>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rPr>
        <w:t xml:space="preserve">National Institute for Health and Care Excellence (2012). </w:t>
      </w:r>
      <w:r w:rsidRPr="001326A9">
        <w:rPr>
          <w:rFonts w:ascii="Verdana" w:hAnsi="Verdana" w:cs="Arial"/>
          <w:i/>
          <w:sz w:val="18"/>
          <w:szCs w:val="18"/>
        </w:rPr>
        <w:t>NICE Clinical Guideline 146. Osteoporosis: Assessing the Risk of Fragility Fracture.</w:t>
      </w:r>
      <w:r w:rsidRPr="001326A9">
        <w:rPr>
          <w:rFonts w:ascii="Verdana" w:hAnsi="Verdana" w:cs="Arial"/>
          <w:sz w:val="18"/>
          <w:szCs w:val="18"/>
        </w:rPr>
        <w:t xml:space="preserve"> </w:t>
      </w:r>
      <w:hyperlink r:id="rId8" w:history="1">
        <w:r w:rsidRPr="001326A9">
          <w:rPr>
            <w:rStyle w:val="Hyperlink"/>
            <w:rFonts w:ascii="Verdana" w:hAnsi="Verdana" w:cs="Arial"/>
            <w:sz w:val="18"/>
            <w:szCs w:val="18"/>
          </w:rPr>
          <w:t>https://www.nice.org.uk/guidance/cg146?unlid</w:t>
        </w:r>
      </w:hyperlink>
      <w:r w:rsidRPr="001326A9">
        <w:rPr>
          <w:rFonts w:ascii="Verdana" w:hAnsi="Verdana" w:cs="Arial"/>
          <w:sz w:val="18"/>
          <w:szCs w:val="18"/>
        </w:rPr>
        <w:t xml:space="preserve"> (accessed </w:t>
      </w:r>
      <w:r>
        <w:rPr>
          <w:rFonts w:ascii="Verdana" w:hAnsi="Verdana" w:cs="Arial"/>
          <w:sz w:val="18"/>
          <w:szCs w:val="18"/>
        </w:rPr>
        <w:t>July 2020</w:t>
      </w:r>
      <w:r w:rsidRPr="001326A9">
        <w:rPr>
          <w:rFonts w:ascii="Verdana" w:hAnsi="Verdana" w:cs="Arial"/>
          <w:sz w:val="18"/>
          <w:szCs w:val="18"/>
        </w:rPr>
        <w:t>).</w:t>
      </w:r>
    </w:p>
  </w:endnote>
  <w:endnote w:id="11">
    <w:p w14:paraId="3879E32A" w14:textId="77777777" w:rsidR="00704E7B" w:rsidRPr="001326A9" w:rsidRDefault="00704E7B" w:rsidP="00704E7B">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rPr>
        <w:t xml:space="preserve">National Institute for Health and Care Excellence (2012). </w:t>
      </w:r>
      <w:r w:rsidRPr="001326A9">
        <w:rPr>
          <w:rFonts w:ascii="Verdana" w:hAnsi="Verdana" w:cs="Arial"/>
          <w:i/>
          <w:sz w:val="18"/>
          <w:szCs w:val="18"/>
        </w:rPr>
        <w:t>NICE Clinical Guideline 146. Osteoporosis: Assessing the Risk of Fragility Fracture.</w:t>
      </w:r>
      <w:r w:rsidRPr="001326A9">
        <w:rPr>
          <w:rFonts w:ascii="Verdana" w:hAnsi="Verdana" w:cs="Arial"/>
          <w:sz w:val="18"/>
          <w:szCs w:val="18"/>
        </w:rPr>
        <w:t xml:space="preserve"> </w:t>
      </w:r>
      <w:hyperlink r:id="rId9" w:history="1">
        <w:r w:rsidRPr="001326A9">
          <w:rPr>
            <w:rStyle w:val="Hyperlink"/>
            <w:rFonts w:ascii="Verdana" w:hAnsi="Verdana" w:cs="Arial"/>
            <w:sz w:val="18"/>
            <w:szCs w:val="18"/>
          </w:rPr>
          <w:t>https://www.nice.org.uk/guidance/cg146?unlid</w:t>
        </w:r>
      </w:hyperlink>
      <w:r w:rsidRPr="001326A9">
        <w:rPr>
          <w:rFonts w:ascii="Verdana" w:hAnsi="Verdana" w:cs="Arial"/>
          <w:sz w:val="18"/>
          <w:szCs w:val="18"/>
        </w:rPr>
        <w:t xml:space="preserve"> (accessed </w:t>
      </w:r>
      <w:r>
        <w:rPr>
          <w:rFonts w:ascii="Verdana" w:hAnsi="Verdana" w:cs="Arial"/>
          <w:sz w:val="18"/>
          <w:szCs w:val="18"/>
        </w:rPr>
        <w:t>July 2020</w:t>
      </w:r>
      <w:r w:rsidRPr="001326A9">
        <w:rPr>
          <w:rFonts w:ascii="Verdana" w:hAnsi="Verdana" w:cs="Arial"/>
          <w:sz w:val="18"/>
          <w:szCs w:val="18"/>
        </w:rPr>
        <w:t>).</w:t>
      </w:r>
    </w:p>
  </w:endnote>
  <w:endnote w:id="12">
    <w:p w14:paraId="370C8DF0" w14:textId="77777777" w:rsidR="00704E7B" w:rsidRDefault="00704E7B" w:rsidP="00704E7B">
      <w:pPr>
        <w:pStyle w:val="EndnoteText"/>
      </w:pPr>
      <w:r>
        <w:rPr>
          <w:rStyle w:val="EndnoteReference"/>
        </w:rPr>
        <w:endnoteRef/>
      </w:r>
      <w:r>
        <w:t xml:space="preserve"> </w:t>
      </w:r>
      <w:r w:rsidRPr="00791424">
        <w:rPr>
          <w:rFonts w:ascii="Verdana" w:hAnsi="Verdana" w:cs="Helvetica"/>
          <w:sz w:val="18"/>
          <w:szCs w:val="18"/>
          <w:shd w:val="clear" w:color="auto" w:fill="FFFFFF"/>
        </w:rPr>
        <w:t xml:space="preserve">van Staa TP, Dennison EM, Leufkens HG, </w:t>
      </w:r>
      <w:r>
        <w:rPr>
          <w:rFonts w:ascii="Verdana" w:hAnsi="Verdana" w:cs="Helvetica"/>
          <w:sz w:val="18"/>
          <w:szCs w:val="18"/>
          <w:shd w:val="clear" w:color="auto" w:fill="FFFFFF"/>
        </w:rPr>
        <w:t xml:space="preserve">and </w:t>
      </w:r>
      <w:r w:rsidRPr="00791424">
        <w:rPr>
          <w:rFonts w:ascii="Verdana" w:hAnsi="Verdana" w:cs="Helvetica"/>
          <w:sz w:val="18"/>
          <w:szCs w:val="18"/>
          <w:shd w:val="clear" w:color="auto" w:fill="FFFFFF"/>
        </w:rPr>
        <w:t>Cooper C</w:t>
      </w:r>
      <w:r>
        <w:rPr>
          <w:rFonts w:ascii="Verdana" w:hAnsi="Verdana" w:cs="Helvetica"/>
          <w:sz w:val="18"/>
          <w:szCs w:val="18"/>
          <w:shd w:val="clear" w:color="auto" w:fill="FFFFFF"/>
        </w:rPr>
        <w:t xml:space="preserve"> (2001) </w:t>
      </w:r>
      <w:r w:rsidRPr="0068166F">
        <w:rPr>
          <w:rFonts w:ascii="Verdana" w:hAnsi="Verdana"/>
          <w:i/>
          <w:iCs/>
          <w:noProof/>
          <w:sz w:val="18"/>
          <w:szCs w:val="18"/>
        </w:rPr>
        <w:t>‘Epidemiology of fractures in England and Wales’</w:t>
      </w:r>
      <w:r w:rsidRPr="00DB0F14">
        <w:rPr>
          <w:rFonts w:ascii="Verdana" w:hAnsi="Verdana"/>
          <w:noProof/>
          <w:sz w:val="18"/>
          <w:szCs w:val="18"/>
        </w:rPr>
        <w:t xml:space="preserve">. </w:t>
      </w:r>
      <w:r w:rsidRPr="00DB0F14">
        <w:rPr>
          <w:rFonts w:ascii="Verdana" w:hAnsi="Verdana"/>
          <w:iCs/>
          <w:noProof/>
          <w:sz w:val="18"/>
          <w:szCs w:val="18"/>
        </w:rPr>
        <w:t xml:space="preserve">Bone, </w:t>
      </w:r>
      <w:r w:rsidRPr="00DB0F14">
        <w:rPr>
          <w:rFonts w:ascii="Verdana" w:hAnsi="Verdana"/>
          <w:noProof/>
          <w:sz w:val="18"/>
          <w:szCs w:val="18"/>
        </w:rPr>
        <w:t>29(6), pp517-522.</w:t>
      </w:r>
    </w:p>
  </w:endnote>
  <w:endnote w:id="13">
    <w:p w14:paraId="77ADF532" w14:textId="77777777" w:rsidR="00704E7B" w:rsidRDefault="00704E7B" w:rsidP="00704E7B">
      <w:pPr>
        <w:pStyle w:val="EndnoteText"/>
      </w:pPr>
      <w:r>
        <w:rPr>
          <w:rStyle w:val="EndnoteReference"/>
        </w:rPr>
        <w:endnoteRef/>
      </w:r>
      <w:r>
        <w:t xml:space="preserve"> </w:t>
      </w:r>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10"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w:t>
      </w:r>
      <w:r w:rsidRPr="001326A9">
        <w:rPr>
          <w:rFonts w:ascii="Verdana" w:hAnsi="Verdana"/>
          <w:sz w:val="18"/>
          <w:szCs w:val="18"/>
        </w:rPr>
        <w:t xml:space="preserve"> </w:t>
      </w:r>
      <w:r>
        <w:rPr>
          <w:rFonts w:ascii="Verdana" w:hAnsi="Verdana"/>
          <w:sz w:val="18"/>
          <w:szCs w:val="18"/>
        </w:rPr>
        <w:t>July 2020</w:t>
      </w:r>
      <w:r w:rsidRPr="001326A9">
        <w:rPr>
          <w:rFonts w:ascii="Verdana" w:hAnsi="Verdana"/>
          <w:sz w:val="18"/>
          <w:szCs w:val="18"/>
        </w:rPr>
        <w:t>)</w:t>
      </w:r>
    </w:p>
  </w:endnote>
  <w:endnote w:id="14">
    <w:p w14:paraId="67A4642A" w14:textId="77777777" w:rsidR="00704E7B" w:rsidRPr="00E56E82" w:rsidRDefault="00704E7B" w:rsidP="00704E7B">
      <w:pPr>
        <w:rPr>
          <w:rFonts w:ascii="Verdana" w:hAnsi="Verdana"/>
          <w:sz w:val="18"/>
          <w:szCs w:val="18"/>
        </w:rPr>
      </w:pPr>
      <w:r>
        <w:rPr>
          <w:rStyle w:val="EndnoteReference"/>
        </w:rPr>
        <w:endnoteRef/>
      </w:r>
      <w:r>
        <w:t xml:space="preserve"> </w:t>
      </w:r>
      <w:r w:rsidRPr="002D581D">
        <w:rPr>
          <w:rFonts w:ascii="Verdana" w:hAnsi="Verdana" w:cs="Arial"/>
          <w:sz w:val="18"/>
          <w:szCs w:val="18"/>
        </w:rPr>
        <w:t xml:space="preserve">McLellan AR, Reid DM, Forbes K et al., (2004) NHS Quality Improvement Scotland. </w:t>
      </w:r>
      <w:r w:rsidRPr="00561936">
        <w:rPr>
          <w:rFonts w:ascii="Verdana" w:hAnsi="Verdana" w:cs="Arial"/>
          <w:i/>
          <w:iCs/>
          <w:sz w:val="18"/>
          <w:szCs w:val="18"/>
        </w:rPr>
        <w:t>‘Effectiveness of Strategies for the Secondary Prevention of Osteoporotic Fractures in Scotland’</w:t>
      </w:r>
      <w:r w:rsidRPr="002D581D">
        <w:rPr>
          <w:rFonts w:ascii="Verdana" w:hAnsi="Verdana" w:cs="Arial"/>
          <w:sz w:val="18"/>
          <w:szCs w:val="18"/>
        </w:rPr>
        <w:t xml:space="preserve">. </w:t>
      </w:r>
      <w:r>
        <w:rPr>
          <w:rFonts w:ascii="Verdana" w:hAnsi="Verdana" w:cs="Arial"/>
          <w:sz w:val="18"/>
          <w:szCs w:val="18"/>
        </w:rPr>
        <w:t xml:space="preserve">Available at: </w:t>
      </w:r>
      <w:hyperlink r:id="rId11" w:history="1">
        <w:r w:rsidRPr="0089603E">
          <w:rPr>
            <w:rStyle w:val="Hyperlink"/>
            <w:rFonts w:ascii="Verdana" w:hAnsi="Verdana"/>
            <w:sz w:val="18"/>
            <w:szCs w:val="18"/>
          </w:rPr>
          <w:t>http://www.healthcareimprovementscotland.org/previous_resources/audit_report/osteoporotic_fractures_audit.aspx</w:t>
        </w:r>
      </w:hyperlink>
      <w:r w:rsidRPr="002D581D">
        <w:rPr>
          <w:rFonts w:ascii="Verdana" w:hAnsi="Verdana" w:cs="Arial"/>
          <w:sz w:val="18"/>
          <w:szCs w:val="18"/>
        </w:rPr>
        <w:t xml:space="preserve"> </w:t>
      </w:r>
      <w:r>
        <w:rPr>
          <w:rFonts w:ascii="Verdana" w:hAnsi="Verdana" w:cs="Arial"/>
          <w:sz w:val="18"/>
          <w:szCs w:val="18"/>
        </w:rPr>
        <w:t xml:space="preserve"> (accessed February 2020)</w:t>
      </w:r>
    </w:p>
  </w:endnote>
  <w:endnote w:id="15">
    <w:p w14:paraId="28A399C4" w14:textId="77777777" w:rsidR="00704E7B" w:rsidRDefault="00704E7B" w:rsidP="00704E7B">
      <w:r>
        <w:rPr>
          <w:rStyle w:val="EndnoteReference"/>
        </w:rPr>
        <w:endnoteRef/>
      </w:r>
      <w:r>
        <w:t xml:space="preserve"> </w:t>
      </w:r>
      <w:r w:rsidRPr="002D581D">
        <w:rPr>
          <w:rFonts w:ascii="Verdana" w:hAnsi="Verdana"/>
          <w:sz w:val="18"/>
          <w:szCs w:val="18"/>
        </w:rPr>
        <w:t xml:space="preserve">Lyles KW et al., (2006) </w:t>
      </w:r>
      <w:r w:rsidRPr="0077722C">
        <w:rPr>
          <w:rFonts w:ascii="Verdana" w:hAnsi="Verdana"/>
          <w:i/>
          <w:iCs/>
          <w:sz w:val="18"/>
          <w:szCs w:val="18"/>
        </w:rPr>
        <w:t>The Horizon Recurrent Clinical Fracture after Recent Hip Fracture Trial (RFT) Study Cohort Description</w:t>
      </w:r>
      <w:r w:rsidRPr="002D581D">
        <w:rPr>
          <w:rFonts w:ascii="Verdana" w:hAnsi="Verdana"/>
          <w:sz w:val="18"/>
          <w:szCs w:val="18"/>
        </w:rPr>
        <w:t xml:space="preserve">. ASBMR  </w:t>
      </w:r>
      <w:r>
        <w:rPr>
          <w:rFonts w:ascii="Verdana" w:hAnsi="Verdana"/>
          <w:sz w:val="18"/>
          <w:szCs w:val="18"/>
        </w:rPr>
        <w:t xml:space="preserve">Available at: </w:t>
      </w:r>
      <w:hyperlink r:id="rId12" w:history="1">
        <w:r w:rsidRPr="0089603E">
          <w:rPr>
            <w:rStyle w:val="Hyperlink"/>
            <w:rFonts w:ascii="Verdana" w:hAnsi="Verdana"/>
            <w:sz w:val="18"/>
            <w:szCs w:val="18"/>
          </w:rPr>
          <w:t>https://acr.confex.com/acr/2006/webprogram/Paper5282.html</w:t>
        </w:r>
      </w:hyperlink>
      <w:r>
        <w:rPr>
          <w:rFonts w:ascii="Verdana" w:hAnsi="Verdana"/>
          <w:sz w:val="18"/>
          <w:szCs w:val="18"/>
        </w:rPr>
        <w:t xml:space="preserve"> </w:t>
      </w:r>
      <w:r>
        <w:rPr>
          <w:rFonts w:ascii="Verdana" w:hAnsi="Verdana" w:cs="Arial"/>
          <w:sz w:val="18"/>
          <w:szCs w:val="18"/>
        </w:rPr>
        <w:t>(accessed February 2020)</w:t>
      </w:r>
    </w:p>
  </w:endnote>
  <w:endnote w:id="16">
    <w:p w14:paraId="274ECD5F" w14:textId="77777777" w:rsidR="00704E7B" w:rsidRDefault="00704E7B" w:rsidP="00704E7B">
      <w:r>
        <w:rPr>
          <w:rStyle w:val="EndnoteReference"/>
        </w:rPr>
        <w:endnoteRef/>
      </w:r>
      <w:r>
        <w:t xml:space="preserve"> </w:t>
      </w:r>
      <w:r w:rsidRPr="002D581D">
        <w:rPr>
          <w:rFonts w:ascii="Verdana" w:hAnsi="Verdana"/>
          <w:sz w:val="18"/>
          <w:szCs w:val="18"/>
        </w:rPr>
        <w:t xml:space="preserve">Edwards, B. J. et al., (2007) </w:t>
      </w:r>
      <w:r w:rsidRPr="0077722C">
        <w:rPr>
          <w:rFonts w:ascii="Verdana" w:hAnsi="Verdana"/>
          <w:i/>
          <w:iCs/>
          <w:sz w:val="18"/>
          <w:szCs w:val="18"/>
        </w:rPr>
        <w:t>‘Prior Fractures Are Common in Patients With Subsequent Hip Fractures’</w:t>
      </w:r>
      <w:r w:rsidRPr="002D581D">
        <w:rPr>
          <w:rFonts w:ascii="Verdana" w:hAnsi="Verdana"/>
          <w:sz w:val="18"/>
          <w:szCs w:val="18"/>
        </w:rPr>
        <w:t>. Clinical Orthopaedics &amp; Related Research, 461, 226-230</w:t>
      </w:r>
      <w:r>
        <w:rPr>
          <w:rFonts w:ascii="Verdana" w:hAnsi="Verdana"/>
          <w:sz w:val="18"/>
          <w:szCs w:val="18"/>
        </w:rPr>
        <w:t xml:space="preserve">.  Available at: </w:t>
      </w:r>
      <w:hyperlink r:id="rId13" w:history="1">
        <w:r w:rsidRPr="0089603E">
          <w:rPr>
            <w:rStyle w:val="Hyperlink"/>
            <w:rFonts w:ascii="Verdana" w:hAnsi="Verdana"/>
            <w:sz w:val="18"/>
            <w:szCs w:val="18"/>
          </w:rPr>
          <w:t>https://journals.lww.com/corr/Abstract/2007/08000/Prior_Fractures_are_Common_in_Patients_with.40.aspx</w:t>
        </w:r>
      </w:hyperlink>
      <w:r>
        <w:rPr>
          <w:rFonts w:ascii="Verdana" w:hAnsi="Verdana"/>
          <w:sz w:val="18"/>
          <w:szCs w:val="18"/>
        </w:rPr>
        <w:t xml:space="preserve"> </w:t>
      </w:r>
      <w:r>
        <w:rPr>
          <w:rFonts w:ascii="Verdana" w:hAnsi="Verdana" w:cs="Arial"/>
          <w:sz w:val="18"/>
          <w:szCs w:val="18"/>
        </w:rPr>
        <w:t>(accessed February 2020)</w:t>
      </w:r>
    </w:p>
  </w:endnote>
  <w:endnote w:id="17">
    <w:p w14:paraId="15296ED6" w14:textId="77777777" w:rsidR="00704E7B" w:rsidRPr="001326A9" w:rsidRDefault="00704E7B" w:rsidP="00704E7B">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lang w:eastAsia="en-US"/>
        </w:rPr>
        <w:t>Mitchell PJ, (2011). Fracture Liaison Services. Osteoporosis Int 22 (Suppl 3): S487–S494.</w:t>
      </w:r>
    </w:p>
  </w:endnote>
  <w:endnote w:id="18">
    <w:p w14:paraId="718DB97E" w14:textId="77777777" w:rsidR="00704E7B" w:rsidRPr="007F308F" w:rsidRDefault="00704E7B" w:rsidP="00704E7B">
      <w:pPr>
        <w:spacing w:beforeLines="60" w:before="144" w:afterLines="60" w:after="144"/>
        <w:rPr>
          <w:rFonts w:ascii="Verdana" w:hAnsi="Verdana"/>
          <w:sz w:val="18"/>
          <w:szCs w:val="18"/>
        </w:rPr>
      </w:pPr>
      <w:r>
        <w:rPr>
          <w:rStyle w:val="EndnoteReference"/>
        </w:rPr>
        <w:endnoteRef/>
      </w:r>
      <w:r>
        <w:t xml:space="preserve"> </w:t>
      </w:r>
      <w:r w:rsidRPr="00FB4147">
        <w:rPr>
          <w:rFonts w:ascii="Verdana" w:hAnsi="Verdana"/>
          <w:sz w:val="18"/>
          <w:szCs w:val="18"/>
        </w:rPr>
        <w:t xml:space="preserve">National Osteoporosis Society (2015) </w:t>
      </w:r>
      <w:r w:rsidRPr="00FB4147">
        <w:rPr>
          <w:rFonts w:ascii="Verdana" w:hAnsi="Verdana"/>
          <w:i/>
          <w:sz w:val="18"/>
          <w:szCs w:val="18"/>
        </w:rPr>
        <w:t>‘Effective secondary prevention of fragility fractures: clinical standards for fracture liaison services’.</w:t>
      </w:r>
      <w:r w:rsidRPr="00FB4147">
        <w:rPr>
          <w:rFonts w:ascii="Verdana" w:hAnsi="Verdana"/>
          <w:sz w:val="18"/>
          <w:szCs w:val="18"/>
        </w:rPr>
        <w:t xml:space="preserve">  Available at: </w:t>
      </w:r>
      <w:hyperlink r:id="rId14" w:history="1">
        <w:r w:rsidRPr="00FB4147">
          <w:rPr>
            <w:rStyle w:val="Hyperlink"/>
            <w:rFonts w:ascii="Verdana" w:hAnsi="Verdana"/>
            <w:sz w:val="18"/>
            <w:szCs w:val="18"/>
          </w:rPr>
          <w:t>http://theros.org.uk/media/1776/clinical-standards-report.pdf</w:t>
        </w:r>
      </w:hyperlink>
      <w:r w:rsidRPr="00FB4147">
        <w:rPr>
          <w:rFonts w:ascii="Verdana" w:hAnsi="Verdana"/>
          <w:color w:val="0000FF"/>
          <w:sz w:val="18"/>
          <w:szCs w:val="18"/>
        </w:rPr>
        <w:t xml:space="preserve"> </w:t>
      </w:r>
      <w:r w:rsidRPr="00FB4147">
        <w:rPr>
          <w:rFonts w:ascii="Verdana" w:hAnsi="Verdana"/>
          <w:sz w:val="18"/>
          <w:szCs w:val="18"/>
        </w:rPr>
        <w:t>(accessed November 2019)</w:t>
      </w:r>
    </w:p>
  </w:endnote>
  <w:endnote w:id="19">
    <w:p w14:paraId="651207FD" w14:textId="77777777" w:rsidR="00704E7B" w:rsidRPr="00DF3FF4" w:rsidRDefault="00704E7B" w:rsidP="00704E7B">
      <w:pPr>
        <w:jc w:val="both"/>
        <w:rPr>
          <w:rFonts w:ascii="Verdana" w:hAnsi="Verdana"/>
          <w:sz w:val="18"/>
          <w:szCs w:val="18"/>
        </w:rPr>
      </w:pPr>
      <w:r>
        <w:rPr>
          <w:rStyle w:val="EndnoteReference"/>
        </w:rPr>
        <w:endnoteRef/>
      </w:r>
      <w:r>
        <w:t xml:space="preserve"> </w:t>
      </w:r>
      <w:r w:rsidRPr="00C56AB3">
        <w:rPr>
          <w:rFonts w:ascii="Verdana" w:hAnsi="Verdana" w:cs="Arial"/>
          <w:color w:val="000000"/>
          <w:sz w:val="18"/>
          <w:szCs w:val="18"/>
        </w:rPr>
        <w:t xml:space="preserve">National Institutes of Health </w:t>
      </w:r>
      <w:r w:rsidRPr="00C56AB3">
        <w:rPr>
          <w:rFonts w:ascii="Verdana" w:hAnsi="Verdana"/>
          <w:sz w:val="18"/>
          <w:szCs w:val="18"/>
        </w:rPr>
        <w:t xml:space="preserve">Consensus Development Conference statement (1991). </w:t>
      </w:r>
      <w:r w:rsidRPr="00E36C78">
        <w:rPr>
          <w:rFonts w:ascii="Verdana" w:hAnsi="Verdana"/>
          <w:iCs/>
          <w:sz w:val="18"/>
          <w:szCs w:val="18"/>
        </w:rPr>
        <w:t>The American Journal of Medicine</w:t>
      </w:r>
      <w:r w:rsidRPr="00C56AB3">
        <w:rPr>
          <w:rFonts w:ascii="Verdana" w:hAnsi="Verdana"/>
          <w:i/>
          <w:sz w:val="18"/>
          <w:szCs w:val="18"/>
        </w:rPr>
        <w:t xml:space="preserve"> </w:t>
      </w:r>
      <w:r w:rsidRPr="00C56AB3">
        <w:rPr>
          <w:rFonts w:ascii="Verdana" w:hAnsi="Verdana"/>
          <w:sz w:val="18"/>
          <w:szCs w:val="18"/>
        </w:rPr>
        <w:t>90(1), pp107–110.</w:t>
      </w:r>
    </w:p>
  </w:endnote>
  <w:endnote w:id="20">
    <w:p w14:paraId="7FC9606E" w14:textId="77777777" w:rsidR="00704E7B" w:rsidRDefault="00704E7B" w:rsidP="00704E7B">
      <w:pPr>
        <w:pStyle w:val="EndnoteText"/>
      </w:pPr>
      <w:r>
        <w:rPr>
          <w:rStyle w:val="EndnoteReference"/>
        </w:rPr>
        <w:endnoteRef/>
      </w:r>
      <w:r>
        <w:t xml:space="preserve"> </w:t>
      </w:r>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15"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 July 2020)</w:t>
      </w:r>
    </w:p>
  </w:endnote>
  <w:endnote w:id="21">
    <w:p w14:paraId="2825C664" w14:textId="77777777" w:rsidR="00F9369B" w:rsidRDefault="00F9369B" w:rsidP="00F9369B">
      <w:pPr>
        <w:pStyle w:val="EndnoteText"/>
      </w:pPr>
      <w:r>
        <w:rPr>
          <w:rStyle w:val="EndnoteReference"/>
        </w:rPr>
        <w:endnoteRef/>
      </w:r>
      <w:r>
        <w:t xml:space="preserve"> NICE TA 161 : </w:t>
      </w:r>
      <w:hyperlink r:id="rId16" w:history="1">
        <w:r>
          <w:rPr>
            <w:rStyle w:val="Hyperlink"/>
          </w:rPr>
          <w:t>https://www.nice.org.uk/guidance/ta161/chapter/2-Clinical-need-and-practice</w:t>
        </w:r>
      </w:hyperlink>
      <w:r>
        <w:t xml:space="preserve"> (accessed July 2020)</w:t>
      </w:r>
    </w:p>
  </w:endnote>
  <w:endnote w:id="22">
    <w:p w14:paraId="0D417506" w14:textId="77777777" w:rsidR="00704E7B" w:rsidRPr="00DD77DC" w:rsidRDefault="00704E7B" w:rsidP="00704E7B">
      <w:pPr>
        <w:pStyle w:val="EndnoteText"/>
        <w:spacing w:after="200"/>
        <w:rPr>
          <w:rFonts w:ascii="Verdana" w:hAnsi="Verdana"/>
          <w:sz w:val="18"/>
          <w:szCs w:val="18"/>
        </w:rPr>
      </w:pPr>
      <w:r>
        <w:rPr>
          <w:rStyle w:val="EndnoteReference"/>
        </w:rPr>
        <w:endnoteRef/>
      </w:r>
      <w:r>
        <w:t xml:space="preserve"> </w:t>
      </w:r>
      <w:r>
        <w:rPr>
          <w:rFonts w:ascii="Verdana" w:hAnsi="Verdana"/>
          <w:sz w:val="18"/>
          <w:szCs w:val="18"/>
        </w:rPr>
        <w:t xml:space="preserve">Government Office for Science (2016) </w:t>
      </w:r>
      <w:r w:rsidRPr="00CB66B3">
        <w:rPr>
          <w:rFonts w:ascii="Verdana" w:hAnsi="Verdana"/>
          <w:i/>
          <w:iCs/>
          <w:sz w:val="18"/>
          <w:szCs w:val="18"/>
        </w:rPr>
        <w:t>‘Future of an Aging Population’</w:t>
      </w:r>
      <w:r>
        <w:rPr>
          <w:rFonts w:ascii="Verdana" w:hAnsi="Verdana"/>
          <w:sz w:val="18"/>
          <w:szCs w:val="18"/>
        </w:rPr>
        <w:t xml:space="preserve">. </w:t>
      </w:r>
      <w:r w:rsidRPr="00956CEB">
        <w:rPr>
          <w:rFonts w:ascii="Verdana" w:hAnsi="Verdana"/>
          <w:sz w:val="18"/>
          <w:szCs w:val="18"/>
        </w:rPr>
        <w:t xml:space="preserve">Available at: </w:t>
      </w:r>
      <w:hyperlink r:id="rId17" w:history="1">
        <w:r w:rsidRPr="00D6778C">
          <w:rPr>
            <w:rStyle w:val="Hyperlink"/>
            <w:rFonts w:ascii="Verdana" w:hAnsi="Verdana"/>
            <w:color w:val="0070C0"/>
            <w:sz w:val="18"/>
            <w:szCs w:val="18"/>
          </w:rPr>
          <w:t>https://assets.publishing.service.gov.uk/government/uploads/system/uploads/attachment_data/file/816458/future-of-an-ageing-population.p</w:t>
        </w:r>
        <w:r w:rsidRPr="00956CEB">
          <w:rPr>
            <w:rStyle w:val="Hyperlink"/>
            <w:rFonts w:ascii="Verdana" w:hAnsi="Verdana"/>
            <w:sz w:val="18"/>
            <w:szCs w:val="18"/>
          </w:rPr>
          <w:t>df</w:t>
        </w:r>
      </w:hyperlink>
      <w:r>
        <w:rPr>
          <w:rFonts w:ascii="Verdana" w:hAnsi="Verdana"/>
          <w:sz w:val="18"/>
          <w:szCs w:val="18"/>
        </w:rPr>
        <w:t xml:space="preserve"> (accessed February 2020)</w:t>
      </w:r>
    </w:p>
  </w:endnote>
  <w:endnote w:id="23">
    <w:p w14:paraId="23331843" w14:textId="77777777" w:rsidR="00704E7B" w:rsidRPr="001326A9" w:rsidRDefault="00704E7B" w:rsidP="00704E7B">
      <w:pPr>
        <w:autoSpaceDE w:val="0"/>
        <w:autoSpaceDN w:val="0"/>
        <w:adjustRightInd w:val="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18"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w:t>
      </w:r>
      <w:r w:rsidRPr="001326A9">
        <w:rPr>
          <w:rFonts w:ascii="Verdana" w:hAnsi="Verdana"/>
          <w:sz w:val="18"/>
          <w:szCs w:val="18"/>
        </w:rPr>
        <w:t xml:space="preserve"> </w:t>
      </w:r>
      <w:r>
        <w:rPr>
          <w:rFonts w:ascii="Verdana" w:hAnsi="Verdana"/>
          <w:sz w:val="18"/>
          <w:szCs w:val="18"/>
        </w:rPr>
        <w:t>July 2020</w:t>
      </w:r>
      <w:r w:rsidRPr="001326A9">
        <w:rPr>
          <w:rFonts w:ascii="Verdana" w:hAnsi="Verdana"/>
          <w:sz w:val="18"/>
          <w:szCs w:val="18"/>
        </w:rPr>
        <w:t>)</w:t>
      </w:r>
    </w:p>
  </w:endnote>
  <w:endnote w:id="24">
    <w:p w14:paraId="7A3674D7" w14:textId="77777777" w:rsidR="00704E7B" w:rsidRDefault="00704E7B" w:rsidP="00704E7B">
      <w:pPr>
        <w:pStyle w:val="EndnoteText"/>
      </w:pPr>
      <w:r>
        <w:rPr>
          <w:rStyle w:val="EndnoteReference"/>
        </w:rPr>
        <w:endnoteRef/>
      </w:r>
      <w:r>
        <w:t xml:space="preserve"> </w:t>
      </w:r>
      <w:r>
        <w:rPr>
          <w:rFonts w:ascii="Verdana" w:hAnsi="Verdana"/>
          <w:sz w:val="18"/>
          <w:szCs w:val="18"/>
        </w:rPr>
        <w:t xml:space="preserve">National Institute for Health and Care Excellence (2012) </w:t>
      </w:r>
      <w:r w:rsidRPr="0068166F">
        <w:rPr>
          <w:rFonts w:ascii="Verdana" w:hAnsi="Verdana"/>
          <w:i/>
          <w:iCs/>
          <w:sz w:val="18"/>
          <w:szCs w:val="18"/>
        </w:rPr>
        <w:t>NICE Clinical Guideline 146.  Osteoporosis: Assessing the Risk of Fragility Fractures</w:t>
      </w:r>
      <w:r>
        <w:rPr>
          <w:rFonts w:ascii="Verdana" w:hAnsi="Verdana"/>
          <w:sz w:val="18"/>
          <w:szCs w:val="18"/>
        </w:rPr>
        <w:t xml:space="preserve">.  Available at: </w:t>
      </w:r>
      <w:hyperlink r:id="rId19" w:history="1">
        <w:r w:rsidRPr="001326A9">
          <w:rPr>
            <w:rStyle w:val="Hyperlink"/>
            <w:rFonts w:ascii="Verdana" w:hAnsi="Verdana" w:cs="Arial"/>
            <w:sz w:val="18"/>
            <w:szCs w:val="18"/>
          </w:rPr>
          <w:t>https://www.nice.org.uk/guidance/cg146?unlid</w:t>
        </w:r>
      </w:hyperlink>
      <w:r w:rsidRPr="001326A9">
        <w:rPr>
          <w:rFonts w:ascii="Verdana" w:hAnsi="Verdana" w:cs="Arial"/>
          <w:sz w:val="18"/>
          <w:szCs w:val="18"/>
        </w:rPr>
        <w:t xml:space="preserve"> (accessed </w:t>
      </w:r>
      <w:r>
        <w:rPr>
          <w:rFonts w:ascii="Verdana" w:hAnsi="Verdana" w:cs="Arial"/>
          <w:sz w:val="18"/>
          <w:szCs w:val="18"/>
        </w:rPr>
        <w:t>November</w:t>
      </w:r>
      <w:r w:rsidRPr="001326A9">
        <w:rPr>
          <w:rFonts w:ascii="Verdana" w:hAnsi="Verdana" w:cs="Arial"/>
          <w:sz w:val="18"/>
          <w:szCs w:val="18"/>
        </w:rPr>
        <w:t xml:space="preserve"> 2019).</w:t>
      </w:r>
    </w:p>
  </w:endnote>
  <w:endnote w:id="25">
    <w:p w14:paraId="162D4648" w14:textId="77777777" w:rsidR="00704E7B" w:rsidRDefault="00704E7B" w:rsidP="00704E7B">
      <w:pPr>
        <w:pStyle w:val="EndnoteText"/>
      </w:pPr>
      <w:r>
        <w:rPr>
          <w:rStyle w:val="EndnoteReference"/>
        </w:rPr>
        <w:endnoteRef/>
      </w:r>
      <w:r>
        <w:t xml:space="preserve"> </w:t>
      </w:r>
      <w:bookmarkStart w:id="2" w:name="_Hlk44922849"/>
      <w:r>
        <w:rPr>
          <w:rFonts w:ascii="Verdana" w:hAnsi="Verdana"/>
          <w:sz w:val="18"/>
          <w:szCs w:val="18"/>
        </w:rPr>
        <w:t>International Osteoporosis Foundation (2018</w:t>
      </w:r>
      <w:r w:rsidRPr="00707A43">
        <w:rPr>
          <w:rFonts w:ascii="Verdana" w:hAnsi="Verdana"/>
          <w:i/>
          <w:iCs/>
          <w:sz w:val="18"/>
          <w:szCs w:val="18"/>
        </w:rPr>
        <w:t>) ‘Broken Bones, Broken Lives: A roadmap to solve the fragility fracture crisis in Europe’</w:t>
      </w:r>
      <w:r>
        <w:rPr>
          <w:rFonts w:ascii="Verdana" w:hAnsi="Verdana"/>
          <w:sz w:val="18"/>
          <w:szCs w:val="18"/>
        </w:rPr>
        <w:t>.  Available at:</w:t>
      </w:r>
      <w:r w:rsidRPr="001326A9">
        <w:rPr>
          <w:rFonts w:ascii="Verdana" w:hAnsi="Verdana"/>
          <w:sz w:val="18"/>
          <w:szCs w:val="18"/>
        </w:rPr>
        <w:t xml:space="preserve"> </w:t>
      </w:r>
      <w:hyperlink r:id="rId20" w:history="1">
        <w:r w:rsidRPr="001326A9">
          <w:rPr>
            <w:rStyle w:val="Hyperlink"/>
            <w:rFonts w:ascii="Verdana" w:hAnsi="Verdana"/>
            <w:sz w:val="18"/>
            <w:szCs w:val="18"/>
          </w:rPr>
          <w:t>http://share.iofbonehealth.org/EU-6-Material/Reports/IOF%20Report_EU.pdf</w:t>
        </w:r>
      </w:hyperlink>
      <w:r w:rsidRPr="001326A9">
        <w:rPr>
          <w:rFonts w:ascii="Verdana" w:hAnsi="Verdana"/>
          <w:sz w:val="18"/>
          <w:szCs w:val="18"/>
        </w:rPr>
        <w:t xml:space="preserve"> (a</w:t>
      </w:r>
      <w:r>
        <w:rPr>
          <w:rFonts w:ascii="Verdana" w:hAnsi="Verdana"/>
          <w:sz w:val="18"/>
          <w:szCs w:val="18"/>
        </w:rPr>
        <w:t>ccessed</w:t>
      </w:r>
      <w:r w:rsidRPr="001326A9">
        <w:rPr>
          <w:rFonts w:ascii="Verdana" w:hAnsi="Verdana"/>
          <w:sz w:val="18"/>
          <w:szCs w:val="18"/>
        </w:rPr>
        <w:t xml:space="preserve"> </w:t>
      </w:r>
      <w:r>
        <w:rPr>
          <w:rFonts w:ascii="Verdana" w:hAnsi="Verdana"/>
          <w:sz w:val="18"/>
          <w:szCs w:val="18"/>
        </w:rPr>
        <w:t>July 2020</w:t>
      </w:r>
      <w:r w:rsidRPr="001326A9">
        <w:rPr>
          <w:rFonts w:ascii="Verdana" w:hAnsi="Verdana"/>
          <w:sz w:val="18"/>
          <w:szCs w:val="18"/>
        </w:rPr>
        <w:t>)</w:t>
      </w:r>
      <w:bookmarkEnd w:id="2"/>
    </w:p>
  </w:endnote>
  <w:endnote w:id="26">
    <w:p w14:paraId="61EDFA77" w14:textId="77777777" w:rsidR="00704E7B" w:rsidRPr="001326A9" w:rsidRDefault="00704E7B" w:rsidP="00704E7B">
      <w:pPr>
        <w:pStyle w:val="EndnoteText"/>
        <w:spacing w:after="20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8B3BB5">
        <w:rPr>
          <w:rFonts w:ascii="Verdana" w:hAnsi="Verdana"/>
          <w:sz w:val="18"/>
          <w:szCs w:val="18"/>
        </w:rPr>
        <w:t>Leal J, Gray AM, Javaid MK et al.</w:t>
      </w:r>
      <w:r>
        <w:rPr>
          <w:rFonts w:ascii="Verdana" w:hAnsi="Verdana"/>
          <w:sz w:val="18"/>
          <w:szCs w:val="18"/>
        </w:rPr>
        <w:t xml:space="preserve"> (2016)</w:t>
      </w:r>
      <w:r w:rsidRPr="008B3BB5">
        <w:rPr>
          <w:rFonts w:ascii="Verdana" w:hAnsi="Verdana"/>
          <w:sz w:val="18"/>
          <w:szCs w:val="18"/>
        </w:rPr>
        <w:t xml:space="preserve"> </w:t>
      </w:r>
      <w:r w:rsidRPr="008B3BB5">
        <w:rPr>
          <w:rFonts w:ascii="Verdana" w:hAnsi="Verdana"/>
          <w:i/>
          <w:iCs/>
          <w:sz w:val="18"/>
          <w:szCs w:val="18"/>
        </w:rPr>
        <w:t>‘Impact of hip fracture on hospital care costs: a population- based study’.</w:t>
      </w:r>
      <w:r w:rsidRPr="008B3BB5">
        <w:rPr>
          <w:rFonts w:ascii="Verdana" w:hAnsi="Verdana"/>
          <w:sz w:val="18"/>
          <w:szCs w:val="18"/>
        </w:rPr>
        <w:t xml:space="preserve"> Osteoporos</w:t>
      </w:r>
      <w:r>
        <w:rPr>
          <w:rFonts w:ascii="Verdana" w:hAnsi="Verdana"/>
          <w:sz w:val="18"/>
          <w:szCs w:val="18"/>
        </w:rPr>
        <w:t>is</w:t>
      </w:r>
      <w:r w:rsidRPr="008B3BB5">
        <w:rPr>
          <w:rFonts w:ascii="Verdana" w:hAnsi="Verdana"/>
          <w:sz w:val="18"/>
          <w:szCs w:val="18"/>
        </w:rPr>
        <w:t xml:space="preserve"> Int</w:t>
      </w:r>
      <w:r>
        <w:rPr>
          <w:rFonts w:ascii="Verdana" w:hAnsi="Verdana"/>
          <w:sz w:val="18"/>
          <w:szCs w:val="18"/>
        </w:rPr>
        <w:t>ernational</w:t>
      </w:r>
      <w:r w:rsidRPr="008B3BB5">
        <w:rPr>
          <w:rFonts w:ascii="Verdana" w:hAnsi="Verdana"/>
          <w:sz w:val="18"/>
          <w:szCs w:val="18"/>
        </w:rPr>
        <w:t xml:space="preserve"> 27</w:t>
      </w:r>
      <w:r>
        <w:rPr>
          <w:rFonts w:ascii="Verdana" w:hAnsi="Verdana"/>
          <w:sz w:val="18"/>
          <w:szCs w:val="18"/>
        </w:rPr>
        <w:t>, pp</w:t>
      </w:r>
      <w:r w:rsidRPr="008B3BB5">
        <w:rPr>
          <w:rFonts w:ascii="Verdana" w:hAnsi="Verdana"/>
          <w:sz w:val="18"/>
          <w:szCs w:val="18"/>
        </w:rPr>
        <w:t>549–58.</w:t>
      </w:r>
    </w:p>
  </w:endnote>
  <w:endnote w:id="27">
    <w:p w14:paraId="01AE9DEC" w14:textId="77777777" w:rsidR="00704E7B" w:rsidRPr="001326A9" w:rsidRDefault="00704E7B" w:rsidP="00704E7B">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Pr>
          <w:rFonts w:ascii="Verdana" w:hAnsi="Verdana"/>
          <w:sz w:val="18"/>
          <w:szCs w:val="18"/>
        </w:rPr>
        <w:t xml:space="preserve">Royal College of Physicians (2018) </w:t>
      </w:r>
      <w:r w:rsidRPr="0064460D">
        <w:rPr>
          <w:rFonts w:ascii="Verdana" w:hAnsi="Verdana"/>
          <w:i/>
          <w:iCs/>
          <w:sz w:val="18"/>
          <w:szCs w:val="18"/>
        </w:rPr>
        <w:t>‘National Hip Fracture Database Report’</w:t>
      </w:r>
      <w:r>
        <w:rPr>
          <w:rFonts w:ascii="Verdana" w:hAnsi="Verdana"/>
          <w:i/>
          <w:iCs/>
          <w:sz w:val="18"/>
          <w:szCs w:val="18"/>
        </w:rPr>
        <w:t xml:space="preserve">.  </w:t>
      </w:r>
      <w:r>
        <w:rPr>
          <w:rFonts w:ascii="Verdana" w:hAnsi="Verdana"/>
          <w:sz w:val="18"/>
          <w:szCs w:val="18"/>
        </w:rPr>
        <w:t xml:space="preserve">Available at:  </w:t>
      </w:r>
      <w:hyperlink r:id="rId21" w:history="1">
        <w:r w:rsidRPr="001F3C8B">
          <w:rPr>
            <w:rStyle w:val="Hyperlink"/>
            <w:rFonts w:ascii="Verdana" w:hAnsi="Verdana"/>
            <w:sz w:val="18"/>
            <w:szCs w:val="18"/>
          </w:rPr>
          <w:t>https://www.nhfd.co.uk/files/2018ReportFiles/NHFD-2018-Annual-Report-v101.pdf</w:t>
        </w:r>
      </w:hyperlink>
      <w:r>
        <w:rPr>
          <w:rFonts w:ascii="Verdana" w:hAnsi="Verdana"/>
          <w:sz w:val="18"/>
          <w:szCs w:val="18"/>
        </w:rPr>
        <w:t xml:space="preserve"> (accessed March 2020)</w:t>
      </w:r>
    </w:p>
  </w:endnote>
  <w:endnote w:id="28">
    <w:p w14:paraId="22ED0F6C" w14:textId="77777777" w:rsidR="00704E7B" w:rsidRDefault="00704E7B" w:rsidP="00704E7B">
      <w:pPr>
        <w:pStyle w:val="EndnoteText"/>
      </w:pPr>
      <w:r>
        <w:rPr>
          <w:rStyle w:val="EndnoteReference"/>
        </w:rPr>
        <w:endnoteRef/>
      </w:r>
      <w:r>
        <w:t xml:space="preserve"> </w:t>
      </w:r>
      <w:r>
        <w:rPr>
          <w:rFonts w:ascii="Verdana" w:hAnsi="Verdana"/>
          <w:sz w:val="18"/>
          <w:szCs w:val="18"/>
        </w:rPr>
        <w:t xml:space="preserve">Royal College of Physicians (2018) </w:t>
      </w:r>
      <w:r w:rsidRPr="0064460D">
        <w:rPr>
          <w:rFonts w:ascii="Verdana" w:hAnsi="Verdana"/>
          <w:i/>
          <w:iCs/>
          <w:sz w:val="18"/>
          <w:szCs w:val="18"/>
        </w:rPr>
        <w:t>‘National Hip Fracture Database Report’</w:t>
      </w:r>
      <w:r>
        <w:rPr>
          <w:rFonts w:ascii="Verdana" w:hAnsi="Verdana"/>
          <w:i/>
          <w:iCs/>
          <w:sz w:val="18"/>
          <w:szCs w:val="18"/>
        </w:rPr>
        <w:t xml:space="preserve">.  </w:t>
      </w:r>
      <w:r>
        <w:rPr>
          <w:rFonts w:ascii="Verdana" w:hAnsi="Verdana"/>
          <w:sz w:val="18"/>
          <w:szCs w:val="18"/>
        </w:rPr>
        <w:t xml:space="preserve">Available at:  </w:t>
      </w:r>
      <w:hyperlink r:id="rId22" w:history="1">
        <w:r w:rsidRPr="001F3C8B">
          <w:rPr>
            <w:rStyle w:val="Hyperlink"/>
            <w:rFonts w:ascii="Verdana" w:hAnsi="Verdana"/>
            <w:sz w:val="18"/>
            <w:szCs w:val="18"/>
          </w:rPr>
          <w:t>https://www.nhfd.co.uk/files/2018ReportFiles/NHFD-2018-Annual-Report-v101.pdf</w:t>
        </w:r>
      </w:hyperlink>
      <w:r>
        <w:rPr>
          <w:rFonts w:ascii="Verdana" w:hAnsi="Verdana"/>
          <w:sz w:val="18"/>
          <w:szCs w:val="18"/>
        </w:rPr>
        <w:t xml:space="preserve"> (accessed March 2020)</w:t>
      </w:r>
    </w:p>
  </w:endnote>
  <w:endnote w:id="29">
    <w:p w14:paraId="7B756DE9" w14:textId="77777777" w:rsidR="00704E7B" w:rsidRPr="0031594D" w:rsidRDefault="00704E7B" w:rsidP="00704E7B">
      <w:pPr>
        <w:autoSpaceDE w:val="0"/>
        <w:autoSpaceDN w:val="0"/>
        <w:adjustRightInd w:val="0"/>
        <w:rPr>
          <w:rFonts w:ascii="Verdana" w:hAnsi="Verdana"/>
          <w:sz w:val="18"/>
          <w:szCs w:val="18"/>
        </w:rPr>
      </w:pPr>
      <w:r>
        <w:rPr>
          <w:rStyle w:val="EndnoteReference"/>
        </w:rPr>
        <w:endnoteRef/>
      </w:r>
      <w:r>
        <w:rPr>
          <w:rFonts w:ascii="Verdana" w:eastAsiaTheme="minorHAnsi" w:hAnsi="Verdana" w:cs="AdvOT9476842c"/>
          <w:sz w:val="18"/>
          <w:szCs w:val="18"/>
        </w:rPr>
        <w:t>Krishnan</w:t>
      </w:r>
      <w:r w:rsidRPr="0031594D">
        <w:rPr>
          <w:rFonts w:ascii="Verdana" w:eastAsiaTheme="minorHAnsi" w:hAnsi="Verdana" w:cs="AdvOT9476842c"/>
          <w:sz w:val="18"/>
          <w:szCs w:val="18"/>
        </w:rPr>
        <w:t>, M., B</w:t>
      </w:r>
      <w:r>
        <w:rPr>
          <w:rFonts w:ascii="Verdana" w:eastAsiaTheme="minorHAnsi" w:hAnsi="Verdana" w:cs="AdvOT9476842c"/>
          <w:sz w:val="18"/>
          <w:szCs w:val="18"/>
        </w:rPr>
        <w:t>eck</w:t>
      </w:r>
      <w:r w:rsidRPr="0031594D">
        <w:rPr>
          <w:rFonts w:ascii="Verdana" w:eastAsiaTheme="minorHAnsi" w:hAnsi="Verdana" w:cs="AdvOT9476842c"/>
          <w:sz w:val="18"/>
          <w:szCs w:val="18"/>
        </w:rPr>
        <w:t>, S., H</w:t>
      </w:r>
      <w:r>
        <w:rPr>
          <w:rFonts w:ascii="Verdana" w:eastAsiaTheme="minorHAnsi" w:hAnsi="Verdana" w:cs="AdvOT9476842c"/>
          <w:sz w:val="18"/>
          <w:szCs w:val="18"/>
        </w:rPr>
        <w:t>avelock</w:t>
      </w:r>
      <w:r w:rsidRPr="0031594D">
        <w:rPr>
          <w:rFonts w:ascii="Verdana" w:eastAsiaTheme="minorHAnsi" w:hAnsi="Verdana" w:cs="AdvOT9476842c"/>
          <w:sz w:val="18"/>
          <w:szCs w:val="18"/>
        </w:rPr>
        <w:t>, W., E</w:t>
      </w:r>
      <w:r>
        <w:rPr>
          <w:rFonts w:ascii="Verdana" w:eastAsiaTheme="minorHAnsi" w:hAnsi="Verdana" w:cs="AdvOT9476842c"/>
          <w:sz w:val="18"/>
          <w:szCs w:val="18"/>
        </w:rPr>
        <w:t>eles</w:t>
      </w:r>
      <w:r w:rsidRPr="0031594D">
        <w:rPr>
          <w:rFonts w:ascii="Verdana" w:eastAsiaTheme="minorHAnsi" w:hAnsi="Verdana" w:cs="AdvOT9476842c"/>
          <w:sz w:val="18"/>
          <w:szCs w:val="18"/>
        </w:rPr>
        <w:t>, E., H</w:t>
      </w:r>
      <w:r>
        <w:rPr>
          <w:rFonts w:ascii="Verdana" w:eastAsiaTheme="minorHAnsi" w:hAnsi="Verdana" w:cs="AdvOT9476842c"/>
          <w:sz w:val="18"/>
          <w:szCs w:val="18"/>
        </w:rPr>
        <w:t>ubbard</w:t>
      </w:r>
      <w:r w:rsidRPr="0031594D">
        <w:rPr>
          <w:rFonts w:ascii="Verdana" w:eastAsiaTheme="minorHAnsi" w:hAnsi="Verdana" w:cs="AdvOT9476842c"/>
          <w:sz w:val="18"/>
          <w:szCs w:val="18"/>
        </w:rPr>
        <w:t>, R.E. and J</w:t>
      </w:r>
      <w:r>
        <w:rPr>
          <w:rFonts w:ascii="Verdana" w:eastAsiaTheme="minorHAnsi" w:hAnsi="Verdana" w:cs="AdvOT9476842c"/>
          <w:sz w:val="18"/>
          <w:szCs w:val="18"/>
        </w:rPr>
        <w:t>ohansen</w:t>
      </w:r>
      <w:r w:rsidRPr="0031594D">
        <w:rPr>
          <w:rFonts w:ascii="Verdana" w:eastAsiaTheme="minorHAnsi" w:hAnsi="Verdana" w:cs="AdvOT9476842c"/>
          <w:sz w:val="18"/>
          <w:szCs w:val="18"/>
        </w:rPr>
        <w:t>,</w:t>
      </w:r>
      <w:r>
        <w:rPr>
          <w:rFonts w:ascii="Verdana" w:eastAsiaTheme="minorHAnsi" w:hAnsi="Verdana" w:cs="AdvOT9476842c"/>
          <w:sz w:val="18"/>
          <w:szCs w:val="18"/>
        </w:rPr>
        <w:t xml:space="preserve"> </w:t>
      </w:r>
      <w:r w:rsidRPr="0031594D">
        <w:rPr>
          <w:rFonts w:ascii="Verdana" w:eastAsiaTheme="minorHAnsi" w:hAnsi="Verdana" w:cs="AdvOT9476842c"/>
          <w:sz w:val="18"/>
          <w:szCs w:val="18"/>
        </w:rPr>
        <w:t>A. (</w:t>
      </w:r>
      <w:r>
        <w:rPr>
          <w:rFonts w:ascii="Verdana" w:eastAsiaTheme="minorHAnsi" w:hAnsi="Verdana" w:cs="AdvOT9476842c"/>
          <w:sz w:val="18"/>
          <w:szCs w:val="18"/>
        </w:rPr>
        <w:t xml:space="preserve">2014). </w:t>
      </w:r>
      <w:r w:rsidRPr="003D336B">
        <w:rPr>
          <w:rFonts w:ascii="Verdana" w:eastAsiaTheme="minorHAnsi" w:hAnsi="Verdana" w:cs="AdvOTe510cf62.B"/>
          <w:sz w:val="18"/>
          <w:szCs w:val="18"/>
        </w:rPr>
        <w:t>Predicting outcome after hip fracture: using a</w:t>
      </w:r>
      <w:r>
        <w:rPr>
          <w:rFonts w:ascii="Verdana" w:eastAsiaTheme="minorHAnsi" w:hAnsi="Verdana" w:cs="AdvOTe510cf62.B"/>
          <w:sz w:val="18"/>
          <w:szCs w:val="18"/>
        </w:rPr>
        <w:t xml:space="preserve"> </w:t>
      </w:r>
      <w:r w:rsidRPr="003D336B">
        <w:rPr>
          <w:rFonts w:ascii="Verdana" w:eastAsiaTheme="minorHAnsi" w:hAnsi="Verdana" w:cs="AdvOTe510cf62.B"/>
          <w:sz w:val="18"/>
          <w:szCs w:val="18"/>
        </w:rPr>
        <w:t>frailty index to integrate comprehensive geriatric assessment results</w:t>
      </w:r>
      <w:r>
        <w:rPr>
          <w:rFonts w:ascii="Verdana" w:eastAsiaTheme="minorHAnsi" w:hAnsi="Verdana" w:cs="AdvOTe510cf62.B"/>
          <w:sz w:val="18"/>
          <w:szCs w:val="18"/>
        </w:rPr>
        <w:t xml:space="preserve">. </w:t>
      </w:r>
      <w:r>
        <w:rPr>
          <w:rFonts w:ascii="AdvOTb9f64e59.I" w:eastAsiaTheme="minorHAnsi" w:hAnsi="AdvOTb9f64e59.I" w:cs="AdvOTb9f64e59.I"/>
          <w:sz w:val="18"/>
          <w:szCs w:val="18"/>
        </w:rPr>
        <w:t xml:space="preserve">Age and Ageing </w:t>
      </w:r>
      <w:r>
        <w:rPr>
          <w:rFonts w:ascii="AdvOT9476842c" w:eastAsiaTheme="minorHAnsi" w:hAnsi="AdvOT9476842c" w:cs="AdvOT9476842c"/>
          <w:sz w:val="18"/>
          <w:szCs w:val="18"/>
        </w:rPr>
        <w:t xml:space="preserve">2014; </w:t>
      </w:r>
      <w:r>
        <w:rPr>
          <w:rFonts w:ascii="AdvOTe510cf62.B" w:eastAsiaTheme="minorHAnsi" w:hAnsi="AdvOTe510cf62.B" w:cs="AdvOTe510cf62.B"/>
          <w:sz w:val="18"/>
          <w:szCs w:val="18"/>
        </w:rPr>
        <w:t xml:space="preserve">43: </w:t>
      </w:r>
      <w:r>
        <w:rPr>
          <w:rFonts w:ascii="AdvOT9476842c" w:eastAsiaTheme="minorHAnsi" w:hAnsi="AdvOT9476842c" w:cs="AdvOT9476842c"/>
          <w:sz w:val="18"/>
          <w:szCs w:val="18"/>
        </w:rPr>
        <w:t>122</w:t>
      </w:r>
      <w:r>
        <w:rPr>
          <w:rFonts w:ascii="AdvTT378de93d+20" w:eastAsiaTheme="minorHAnsi" w:hAnsi="AdvTT378de93d+20" w:cs="AdvTT378de93d+20"/>
          <w:sz w:val="18"/>
          <w:szCs w:val="18"/>
        </w:rPr>
        <w:t>–</w:t>
      </w:r>
      <w:r>
        <w:rPr>
          <w:rFonts w:ascii="AdvOT9476842c" w:eastAsiaTheme="minorHAnsi" w:hAnsi="AdvOT9476842c" w:cs="AdvOT9476842c"/>
          <w:sz w:val="18"/>
          <w:szCs w:val="18"/>
        </w:rPr>
        <w:t>126</w:t>
      </w:r>
    </w:p>
  </w:endnote>
  <w:endnote w:id="30">
    <w:p w14:paraId="63068605" w14:textId="77777777" w:rsidR="00704E7B" w:rsidRDefault="00704E7B" w:rsidP="00704E7B">
      <w:pPr>
        <w:pStyle w:val="EndnoteText"/>
      </w:pPr>
      <w:r>
        <w:rPr>
          <w:rStyle w:val="EndnoteReference"/>
        </w:rPr>
        <w:endnoteRef/>
      </w:r>
      <w:r>
        <w:t xml:space="preserve"> </w:t>
      </w:r>
      <w:r w:rsidRPr="001326A9">
        <w:rPr>
          <w:rFonts w:ascii="Verdana" w:hAnsi="Verdana"/>
          <w:sz w:val="18"/>
          <w:szCs w:val="18"/>
        </w:rPr>
        <w:t xml:space="preserve">Department of Health (2009). </w:t>
      </w:r>
      <w:r>
        <w:rPr>
          <w:rFonts w:ascii="Verdana" w:hAnsi="Verdana"/>
          <w:i/>
          <w:iCs/>
          <w:sz w:val="18"/>
          <w:szCs w:val="18"/>
        </w:rPr>
        <w:t>‘</w:t>
      </w:r>
      <w:r w:rsidRPr="001326A9">
        <w:rPr>
          <w:rFonts w:ascii="Verdana" w:hAnsi="Verdana"/>
          <w:i/>
          <w:sz w:val="18"/>
          <w:szCs w:val="18"/>
        </w:rPr>
        <w:t>Falls and Fractures: Effective Interventions in Health and Social Care. Prevention Package for Older People</w:t>
      </w:r>
      <w:r>
        <w:rPr>
          <w:rFonts w:ascii="Verdana" w:hAnsi="Verdana"/>
          <w:i/>
          <w:sz w:val="18"/>
          <w:szCs w:val="18"/>
        </w:rPr>
        <w:t>’</w:t>
      </w:r>
      <w:r w:rsidRPr="001326A9">
        <w:rPr>
          <w:rFonts w:ascii="Verdana" w:hAnsi="Verdana"/>
          <w:i/>
          <w:sz w:val="18"/>
          <w:szCs w:val="18"/>
        </w:rPr>
        <w:t>.</w:t>
      </w:r>
      <w:r>
        <w:rPr>
          <w:rFonts w:ascii="Verdana" w:hAnsi="Verdana"/>
          <w:i/>
          <w:sz w:val="18"/>
          <w:szCs w:val="18"/>
        </w:rPr>
        <w:t xml:space="preserve">  </w:t>
      </w:r>
      <w:r w:rsidRPr="00A8482B">
        <w:rPr>
          <w:rFonts w:ascii="Verdana" w:hAnsi="Verdana"/>
          <w:iCs/>
          <w:sz w:val="18"/>
          <w:szCs w:val="18"/>
        </w:rPr>
        <w:t>Available at:</w:t>
      </w:r>
      <w:r w:rsidRPr="001326A9">
        <w:rPr>
          <w:rFonts w:ascii="Verdana" w:hAnsi="Verdana"/>
          <w:sz w:val="18"/>
          <w:szCs w:val="18"/>
        </w:rPr>
        <w:t xml:space="preserve"> </w:t>
      </w:r>
      <w:hyperlink r:id="rId23" w:history="1">
        <w:r w:rsidRPr="003F13C2">
          <w:rPr>
            <w:rStyle w:val="Hyperlink"/>
            <w:rFonts w:ascii="Verdana" w:hAnsi="Verdana"/>
            <w:sz w:val="18"/>
            <w:szCs w:val="18"/>
          </w:rPr>
          <w:t>http://www.laterlifetraining.co.uk/wp-content/uploads/2011/12/FF_Effective-Interventions-in-health-and-social-care.pdf</w:t>
        </w:r>
      </w:hyperlink>
      <w:r>
        <w:rPr>
          <w:rFonts w:ascii="Verdana" w:hAnsi="Verdana"/>
          <w:sz w:val="18"/>
          <w:szCs w:val="18"/>
        </w:rPr>
        <w:t xml:space="preserve"> (accessed February 2020)</w:t>
      </w:r>
    </w:p>
  </w:endnote>
  <w:endnote w:id="31">
    <w:p w14:paraId="0C5049C2" w14:textId="77777777" w:rsidR="00704E7B" w:rsidRPr="001326A9" w:rsidRDefault="00704E7B" w:rsidP="00704E7B">
      <w:pPr>
        <w:pStyle w:val="EndnoteText"/>
        <w:spacing w:before="60" w:after="60"/>
        <w:rPr>
          <w:rFonts w:ascii="Verdana" w:hAnsi="Verdana"/>
          <w:sz w:val="18"/>
          <w:szCs w:val="18"/>
        </w:rPr>
      </w:pPr>
      <w:r w:rsidRPr="001326A9">
        <w:rPr>
          <w:rStyle w:val="EndnoteReference"/>
          <w:rFonts w:ascii="Verdana" w:hAnsi="Verdana"/>
          <w:sz w:val="18"/>
          <w:szCs w:val="18"/>
        </w:rPr>
        <w:endnoteRef/>
      </w:r>
      <w:r w:rsidRPr="001326A9">
        <w:rPr>
          <w:rFonts w:ascii="Verdana" w:hAnsi="Verdana"/>
          <w:sz w:val="18"/>
          <w:szCs w:val="18"/>
        </w:rPr>
        <w:t xml:space="preserve"> </w:t>
      </w:r>
      <w:r w:rsidRPr="001326A9">
        <w:rPr>
          <w:rFonts w:ascii="Verdana" w:hAnsi="Verdana" w:cs="Arial"/>
          <w:sz w:val="18"/>
          <w:szCs w:val="18"/>
          <w:lang w:eastAsia="en-US"/>
        </w:rPr>
        <w:t>National Osteoporosis Society. Stop at One Survey. (2013). National Osteoporosis Society.</w:t>
      </w:r>
    </w:p>
  </w:endnote>
  <w:endnote w:id="32">
    <w:p w14:paraId="7F2A4614" w14:textId="77777777" w:rsidR="00704E7B" w:rsidRPr="003632B0" w:rsidRDefault="00704E7B" w:rsidP="00704E7B">
      <w:pPr>
        <w:pStyle w:val="Default"/>
        <w:spacing w:after="200"/>
        <w:rPr>
          <w:rFonts w:ascii="Verdana" w:hAnsi="Verdana"/>
          <w:sz w:val="18"/>
          <w:szCs w:val="18"/>
        </w:rPr>
      </w:pPr>
      <w:r w:rsidRPr="003632B0">
        <w:rPr>
          <w:rStyle w:val="EndnoteReference"/>
          <w:rFonts w:ascii="Verdana" w:hAnsi="Verdana"/>
          <w:sz w:val="18"/>
          <w:szCs w:val="18"/>
        </w:rPr>
        <w:endnoteRef/>
      </w:r>
      <w:r w:rsidRPr="003632B0">
        <w:rPr>
          <w:rFonts w:ascii="Verdana" w:hAnsi="Verdana"/>
          <w:sz w:val="18"/>
          <w:szCs w:val="18"/>
        </w:rPr>
        <w:t xml:space="preserve"> </w:t>
      </w:r>
      <w:r w:rsidRPr="001326A9">
        <w:rPr>
          <w:rFonts w:ascii="Verdana" w:hAnsi="Verdana"/>
          <w:sz w:val="18"/>
          <w:szCs w:val="18"/>
        </w:rPr>
        <w:t>Public Health England</w:t>
      </w:r>
      <w:r>
        <w:rPr>
          <w:rFonts w:ascii="Verdana" w:hAnsi="Verdana"/>
          <w:sz w:val="18"/>
          <w:szCs w:val="18"/>
        </w:rPr>
        <w:t xml:space="preserve"> (2017)</w:t>
      </w:r>
      <w:r w:rsidRPr="001326A9">
        <w:rPr>
          <w:rFonts w:ascii="Verdana" w:hAnsi="Verdana"/>
          <w:sz w:val="18"/>
          <w:szCs w:val="18"/>
        </w:rPr>
        <w:t xml:space="preserve"> </w:t>
      </w:r>
      <w:r w:rsidRPr="004310DB">
        <w:rPr>
          <w:rFonts w:ascii="Verdana" w:hAnsi="Verdana"/>
          <w:i/>
          <w:iCs/>
          <w:sz w:val="18"/>
          <w:szCs w:val="18"/>
        </w:rPr>
        <w:t>‘</w:t>
      </w:r>
      <w:r w:rsidRPr="004310DB">
        <w:rPr>
          <w:rFonts w:ascii="Verdana" w:hAnsi="Verdana"/>
          <w:bCs/>
          <w:i/>
          <w:iCs/>
          <w:sz w:val="18"/>
          <w:szCs w:val="18"/>
        </w:rPr>
        <w:t>Falls and fracture consensus statement:</w:t>
      </w:r>
      <w:r w:rsidRPr="004310DB">
        <w:rPr>
          <w:rFonts w:ascii="Verdana" w:hAnsi="Verdana"/>
          <w:b/>
          <w:bCs/>
          <w:i/>
          <w:iCs/>
          <w:sz w:val="18"/>
          <w:szCs w:val="18"/>
        </w:rPr>
        <w:t xml:space="preserve"> </w:t>
      </w:r>
      <w:r w:rsidRPr="004310DB">
        <w:rPr>
          <w:rFonts w:ascii="Verdana" w:hAnsi="Verdana"/>
          <w:i/>
          <w:iCs/>
          <w:sz w:val="18"/>
          <w:szCs w:val="18"/>
        </w:rPr>
        <w:t>Supporting commissioning for prevention’</w:t>
      </w:r>
      <w:r>
        <w:rPr>
          <w:rFonts w:ascii="Verdana" w:hAnsi="Verdana"/>
          <w:i/>
          <w:iCs/>
          <w:sz w:val="18"/>
          <w:szCs w:val="18"/>
        </w:rPr>
        <w:t xml:space="preserve"> </w:t>
      </w:r>
      <w:r>
        <w:rPr>
          <w:rFonts w:ascii="Verdana" w:hAnsi="Verdana"/>
          <w:sz w:val="18"/>
          <w:szCs w:val="18"/>
        </w:rPr>
        <w:t xml:space="preserve">Available at: </w:t>
      </w:r>
      <w:hyperlink r:id="rId24" w:history="1">
        <w:r w:rsidRPr="00987F4C">
          <w:rPr>
            <w:rStyle w:val="Hyperlink"/>
            <w:rFonts w:ascii="Verdana" w:hAnsi="Verdana"/>
            <w:sz w:val="18"/>
            <w:szCs w:val="18"/>
          </w:rPr>
          <w:t>https://assets.publishing.service.gov.uk/government/uploads/system/uploads/attachment_data/file/586382/falls_and_fractures_consensus_statement.pdf</w:t>
        </w:r>
      </w:hyperlink>
      <w:r>
        <w:rPr>
          <w:rFonts w:ascii="Verdana" w:hAnsi="Verdana"/>
          <w:sz w:val="18"/>
          <w:szCs w:val="18"/>
        </w:rPr>
        <w:t xml:space="preserve"> (accessed March 2020)</w:t>
      </w:r>
    </w:p>
  </w:endnote>
  <w:endnote w:id="33">
    <w:p w14:paraId="13CF6CB9" w14:textId="77777777" w:rsidR="00704E7B" w:rsidRPr="00B4626C" w:rsidRDefault="00704E7B" w:rsidP="00704E7B">
      <w:pPr>
        <w:pStyle w:val="EndnoteText"/>
        <w:spacing w:before="60" w:after="60"/>
        <w:rPr>
          <w:rFonts w:ascii="Verdana" w:hAnsi="Verdana"/>
          <w:sz w:val="18"/>
          <w:szCs w:val="18"/>
        </w:rPr>
      </w:pPr>
      <w:r>
        <w:rPr>
          <w:rStyle w:val="EndnoteReference"/>
        </w:rPr>
        <w:endnoteRef/>
      </w:r>
      <w:r>
        <w:t xml:space="preserve"> </w:t>
      </w:r>
      <w:r>
        <w:rPr>
          <w:rFonts w:ascii="Verdana" w:hAnsi="Verdana"/>
          <w:sz w:val="18"/>
          <w:szCs w:val="18"/>
        </w:rPr>
        <w:t xml:space="preserve">NHS RightCare (2017) </w:t>
      </w:r>
      <w:r>
        <w:rPr>
          <w:rFonts w:ascii="Verdana" w:hAnsi="Verdana"/>
          <w:i/>
          <w:iCs/>
          <w:sz w:val="18"/>
          <w:szCs w:val="18"/>
        </w:rPr>
        <w:t>‘</w:t>
      </w:r>
      <w:r w:rsidRPr="00CF7822">
        <w:rPr>
          <w:rFonts w:ascii="Verdana" w:hAnsi="Verdana"/>
          <w:i/>
          <w:iCs/>
          <w:sz w:val="18"/>
          <w:szCs w:val="18"/>
        </w:rPr>
        <w:t>RightCare Pathway: Falls and Fragility Fractures</w:t>
      </w:r>
      <w:r>
        <w:rPr>
          <w:rFonts w:ascii="Verdana" w:hAnsi="Verdana"/>
          <w:i/>
          <w:iCs/>
          <w:sz w:val="18"/>
          <w:szCs w:val="18"/>
        </w:rPr>
        <w:t>’</w:t>
      </w:r>
      <w:r>
        <w:rPr>
          <w:rFonts w:ascii="Verdana" w:hAnsi="Verdana"/>
          <w:sz w:val="18"/>
          <w:szCs w:val="18"/>
        </w:rPr>
        <w:t xml:space="preserve">  </w:t>
      </w:r>
      <w:hyperlink r:id="rId25" w:history="1">
        <w:r w:rsidRPr="00571956">
          <w:rPr>
            <w:rStyle w:val="Hyperlink"/>
            <w:rFonts w:ascii="Verdana" w:hAnsi="Verdana"/>
            <w:sz w:val="18"/>
            <w:szCs w:val="18"/>
          </w:rPr>
          <w:t>https://www.england.nhs.uk/rightcare/wp-content/uploads/sites/40/2017/12/falls-fragility-fractures-pathway-v18.pdf</w:t>
        </w:r>
      </w:hyperlink>
      <w:r>
        <w:rPr>
          <w:rFonts w:ascii="Verdana" w:hAnsi="Verdana"/>
          <w:sz w:val="18"/>
          <w:szCs w:val="18"/>
        </w:rPr>
        <w:t xml:space="preserve"> (accessed March 2020)</w:t>
      </w:r>
    </w:p>
  </w:endnote>
  <w:endnote w:id="34">
    <w:p w14:paraId="297CE289" w14:textId="39A592E4" w:rsidR="002F50ED" w:rsidRPr="003632B0" w:rsidRDefault="002F50ED">
      <w:pPr>
        <w:pStyle w:val="EndnoteText"/>
        <w:rPr>
          <w:rFonts w:ascii="Verdana" w:hAnsi="Verdana"/>
          <w:sz w:val="18"/>
          <w:szCs w:val="18"/>
        </w:rPr>
      </w:pPr>
      <w:r w:rsidRPr="003632B0">
        <w:rPr>
          <w:rStyle w:val="EndnoteReference"/>
          <w:rFonts w:ascii="Verdana" w:hAnsi="Verdana"/>
          <w:sz w:val="18"/>
          <w:szCs w:val="18"/>
        </w:rPr>
        <w:endnoteRef/>
      </w:r>
      <w:r w:rsidRPr="003632B0">
        <w:rPr>
          <w:rFonts w:ascii="Verdana" w:hAnsi="Verdana"/>
          <w:sz w:val="18"/>
          <w:szCs w:val="18"/>
        </w:rPr>
        <w:t xml:space="preserve"> </w:t>
      </w:r>
      <w:r>
        <w:rPr>
          <w:rFonts w:ascii="Verdana" w:hAnsi="Verdana"/>
          <w:sz w:val="18"/>
          <w:szCs w:val="18"/>
        </w:rPr>
        <w:t>Roy</w:t>
      </w:r>
      <w:r w:rsidRPr="003632B0">
        <w:rPr>
          <w:rFonts w:ascii="Verdana" w:hAnsi="Verdana"/>
          <w:sz w:val="18"/>
          <w:szCs w:val="18"/>
        </w:rPr>
        <w:t xml:space="preserve">al Osteoporosis Society FLS Benefits Calculator available at: </w:t>
      </w:r>
      <w:hyperlink r:id="rId26" w:history="1">
        <w:r>
          <w:rPr>
            <w:rStyle w:val="Hyperlink"/>
          </w:rPr>
          <w:t>https://theros.org.uk/healthcare-professionals/fracture-liaison-services/implementation-toolkit/</w:t>
        </w:r>
      </w:hyperlink>
    </w:p>
  </w:endnote>
  <w:endnote w:id="35">
    <w:p w14:paraId="6372A041" w14:textId="60E5275F" w:rsidR="00724D27" w:rsidRDefault="002F50ED" w:rsidP="00D04A8A">
      <w:pPr>
        <w:spacing w:before="60" w:after="60"/>
        <w:rPr>
          <w:rFonts w:ascii="Verdana" w:hAnsi="Verdana"/>
          <w:b/>
          <w:sz w:val="24"/>
        </w:rPr>
      </w:pPr>
      <w:r w:rsidRPr="003632B0">
        <w:rPr>
          <w:rStyle w:val="EndnoteReference"/>
          <w:rFonts w:ascii="Verdana" w:hAnsi="Verdana"/>
          <w:sz w:val="18"/>
          <w:szCs w:val="18"/>
        </w:rPr>
        <w:endnoteRef/>
      </w:r>
      <w:r w:rsidRPr="003632B0">
        <w:rPr>
          <w:rFonts w:ascii="Verdana" w:hAnsi="Verdana"/>
          <w:sz w:val="18"/>
          <w:szCs w:val="18"/>
        </w:rPr>
        <w:t xml:space="preserve"> NHS England Commissioning for Value Packs: </w:t>
      </w:r>
      <w:hyperlink r:id="rId27" w:history="1">
        <w:r w:rsidRPr="003632B0">
          <w:rPr>
            <w:rStyle w:val="Hyperlink"/>
            <w:rFonts w:ascii="Verdana" w:hAnsi="Verdana"/>
            <w:sz w:val="18"/>
            <w:szCs w:val="18"/>
          </w:rPr>
          <w:t>https://www.england.nhs.uk/rightcare/products/ccg-data-packs/where-to-look-packs/</w:t>
        </w:r>
      </w:hyperlink>
      <w:r w:rsidRPr="003632B0">
        <w:rPr>
          <w:rFonts w:ascii="Verdana" w:hAnsi="Verdana"/>
          <w:sz w:val="18"/>
          <w:szCs w:val="18"/>
        </w:rPr>
        <w:t xml:space="preserve"> </w:t>
      </w:r>
    </w:p>
    <w:p w14:paraId="151B564D" w14:textId="54CA8962" w:rsidR="00724D27" w:rsidRDefault="00724D27" w:rsidP="00760877">
      <w:pPr>
        <w:rPr>
          <w:rFonts w:ascii="Verdana" w:hAnsi="Verdana"/>
          <w:b/>
          <w:sz w:val="24"/>
        </w:rPr>
      </w:pPr>
    </w:p>
    <w:p w14:paraId="79056464" w14:textId="0CD70A6F" w:rsidR="00724D27" w:rsidRDefault="00D04A8A" w:rsidP="00D04A8A">
      <w:pPr>
        <w:tabs>
          <w:tab w:val="left" w:pos="8232"/>
        </w:tabs>
        <w:rPr>
          <w:rFonts w:ascii="Verdana" w:hAnsi="Verdana"/>
          <w:b/>
          <w:sz w:val="24"/>
        </w:rPr>
      </w:pPr>
      <w:r>
        <w:rPr>
          <w:rFonts w:ascii="Verdana" w:hAnsi="Verdana"/>
          <w:b/>
          <w:sz w:val="24"/>
        </w:rPr>
        <w:tab/>
      </w:r>
    </w:p>
    <w:p w14:paraId="37CEC2A3" w14:textId="120DB717" w:rsidR="00724D27" w:rsidRDefault="00724D27" w:rsidP="00760877">
      <w:pPr>
        <w:rPr>
          <w:rFonts w:ascii="Verdana" w:hAnsi="Verdana"/>
          <w:b/>
          <w:sz w:val="24"/>
        </w:rPr>
      </w:pPr>
    </w:p>
    <w:p w14:paraId="3335B8F6" w14:textId="2F057369" w:rsidR="00724D27" w:rsidRDefault="00724D27" w:rsidP="00760877">
      <w:pPr>
        <w:rPr>
          <w:rFonts w:ascii="Verdana" w:hAnsi="Verdana"/>
          <w:b/>
          <w:sz w:val="24"/>
        </w:rPr>
      </w:pPr>
    </w:p>
    <w:p w14:paraId="12E74343" w14:textId="77777777" w:rsidR="00724D27" w:rsidRDefault="00724D27" w:rsidP="00760877">
      <w:pPr>
        <w:rPr>
          <w:rFonts w:ascii="Verdana" w:hAnsi="Verdana"/>
          <w:b/>
          <w:sz w:val="24"/>
        </w:rPr>
      </w:pPr>
    </w:p>
    <w:p w14:paraId="22B92701" w14:textId="66A41BA9" w:rsidR="00760877" w:rsidRPr="00E162D3" w:rsidRDefault="00760877" w:rsidP="00760877">
      <w:pPr>
        <w:rPr>
          <w:rFonts w:ascii="Verdana" w:hAnsi="Verdana"/>
          <w:b/>
          <w:sz w:val="24"/>
        </w:rPr>
      </w:pPr>
      <w:r w:rsidRPr="00E162D3">
        <w:rPr>
          <w:rFonts w:ascii="Verdana" w:hAnsi="Verdana"/>
          <w:b/>
          <w:sz w:val="24"/>
        </w:rPr>
        <w:t>Appendix 1: Example of financial section for business case</w:t>
      </w:r>
      <w:r>
        <w:rPr>
          <w:rFonts w:ascii="Verdana" w:hAnsi="Verdana"/>
          <w:b/>
          <w:sz w:val="24"/>
        </w:rPr>
        <w:t>.</w:t>
      </w:r>
    </w:p>
    <w:p w14:paraId="341A2549" w14:textId="77777777" w:rsidR="00760877" w:rsidRDefault="00760877" w:rsidP="00760877"/>
    <w:p w14:paraId="6A1525C7" w14:textId="77777777" w:rsidR="00760877" w:rsidRPr="006D09E0" w:rsidRDefault="00760877" w:rsidP="00760877">
      <w:pPr>
        <w:spacing w:after="120"/>
        <w:rPr>
          <w:rFonts w:ascii="Verdana" w:hAnsi="Verdana" w:cs="Arial"/>
          <w:b/>
          <w:szCs w:val="22"/>
          <w:u w:val="single"/>
        </w:rPr>
      </w:pPr>
      <w:r w:rsidRPr="006D09E0">
        <w:rPr>
          <w:rFonts w:ascii="Verdana" w:hAnsi="Verdana" w:cs="Arial"/>
          <w:b/>
          <w:szCs w:val="22"/>
          <w:u w:val="single"/>
        </w:rPr>
        <w:t>Benefits:</w:t>
      </w:r>
    </w:p>
    <w:p w14:paraId="48572F57" w14:textId="04236140" w:rsidR="00760877" w:rsidRPr="00337C96" w:rsidRDefault="00760877" w:rsidP="00760877">
      <w:pPr>
        <w:spacing w:after="120"/>
        <w:jc w:val="both"/>
        <w:rPr>
          <w:rFonts w:ascii="Verdana" w:hAnsi="Verdana"/>
        </w:rPr>
      </w:pPr>
      <w:r w:rsidRPr="00337C96">
        <w:rPr>
          <w:rFonts w:ascii="Verdana" w:hAnsi="Verdana"/>
        </w:rPr>
        <w:t xml:space="preserve">It has been estimated that having an FLS at </w:t>
      </w:r>
      <w:r w:rsidRPr="00337C96">
        <w:rPr>
          <w:rFonts w:ascii="Verdana" w:hAnsi="Verdana"/>
          <w:b/>
        </w:rPr>
        <w:t>[insert name of organisation]</w:t>
      </w:r>
      <w:r w:rsidRPr="00337C96">
        <w:rPr>
          <w:rFonts w:ascii="Verdana" w:hAnsi="Verdana"/>
        </w:rPr>
        <w:t xml:space="preserve"> will prevent a total of </w:t>
      </w:r>
      <w:r w:rsidRPr="00337C96">
        <w:rPr>
          <w:rFonts w:ascii="Verdana" w:hAnsi="Verdana"/>
          <w:b/>
        </w:rPr>
        <w:t>[insert total number of fractures prevented</w:t>
      </w:r>
      <w:r w:rsidR="00044F54">
        <w:rPr>
          <w:rFonts w:ascii="Verdana" w:hAnsi="Verdana"/>
          <w:b/>
        </w:rPr>
        <w:t>,</w:t>
      </w:r>
      <w:r w:rsidRPr="00337C96">
        <w:rPr>
          <w:rFonts w:ascii="Verdana" w:hAnsi="Verdana"/>
          <w:b/>
        </w:rPr>
        <w:t xml:space="preserve"> </w:t>
      </w:r>
      <w:r w:rsidR="00044F54">
        <w:rPr>
          <w:rFonts w:ascii="Verdana" w:hAnsi="Verdana"/>
          <w:b/>
        </w:rPr>
        <w:t>contact the ROS if you need help getting this figure</w:t>
      </w:r>
      <w:r w:rsidRPr="00337C96">
        <w:rPr>
          <w:rFonts w:ascii="Verdana" w:hAnsi="Verdana"/>
          <w:b/>
        </w:rPr>
        <w:t>]</w:t>
      </w:r>
      <w:r w:rsidRPr="00337C96">
        <w:rPr>
          <w:rFonts w:ascii="Verdana" w:hAnsi="Verdana"/>
        </w:rPr>
        <w:t xml:space="preserve"> fractures over 5 years, which is shown in the table below</w:t>
      </w:r>
      <w:r>
        <w:rPr>
          <w:rStyle w:val="EndnoteReference"/>
          <w:rFonts w:ascii="Verdana" w:hAnsi="Verdana"/>
        </w:rPr>
        <w:endnoteRef/>
      </w:r>
      <w:r w:rsidRPr="00337C96">
        <w:rPr>
          <w:rFonts w:ascii="Verdana" w:hAnsi="Verdana"/>
        </w:rPr>
        <w:t>:</w:t>
      </w:r>
    </w:p>
    <w:p w14:paraId="53BFF399" w14:textId="4D586DA1" w:rsidR="00760877" w:rsidRPr="006D09E0" w:rsidRDefault="00760877" w:rsidP="00760877">
      <w:pPr>
        <w:spacing w:after="120"/>
        <w:jc w:val="both"/>
        <w:rPr>
          <w:rFonts w:ascii="Verdana" w:hAnsi="Verdana" w:cs="Arial"/>
          <w:b/>
          <w:szCs w:val="22"/>
        </w:rPr>
      </w:pPr>
      <w:r w:rsidRPr="006D09E0">
        <w:rPr>
          <w:rFonts w:ascii="Verdana" w:hAnsi="Verdana" w:cs="Arial"/>
          <w:b/>
          <w:szCs w:val="22"/>
        </w:rPr>
        <w:t>[insert table, with the number of fractures prevented over 5 years</w:t>
      </w:r>
      <w:r w:rsidR="00712DFA">
        <w:rPr>
          <w:rFonts w:ascii="Verdana" w:hAnsi="Verdana" w:cs="Arial"/>
          <w:b/>
          <w:szCs w:val="22"/>
        </w:rPr>
        <w:t xml:space="preserve">, </w:t>
      </w:r>
      <w:r w:rsidR="00712DFA">
        <w:rPr>
          <w:rFonts w:ascii="Verdana" w:hAnsi="Verdana"/>
          <w:b/>
        </w:rPr>
        <w:t>contact the ROS if you need help getting th</w:t>
      </w:r>
      <w:r w:rsidR="00712DFA">
        <w:rPr>
          <w:rFonts w:ascii="Verdana" w:hAnsi="Verdana"/>
          <w:b/>
        </w:rPr>
        <w:t>ese figures</w:t>
      </w:r>
      <w:r w:rsidRPr="006D09E0">
        <w:rPr>
          <w:rFonts w:ascii="Verdana" w:hAnsi="Verdana" w:cs="Arial"/>
          <w:b/>
          <w:szCs w:val="22"/>
        </w:rPr>
        <w:t>]</w:t>
      </w:r>
    </w:p>
    <w:tbl>
      <w:tblPr>
        <w:tblW w:w="7860" w:type="dxa"/>
        <w:tblLook w:val="04A0" w:firstRow="1" w:lastRow="0" w:firstColumn="1" w:lastColumn="0" w:noHBand="0" w:noVBand="1"/>
      </w:tblPr>
      <w:tblGrid>
        <w:gridCol w:w="640"/>
        <w:gridCol w:w="1300"/>
        <w:gridCol w:w="1465"/>
        <w:gridCol w:w="1466"/>
        <w:gridCol w:w="1604"/>
        <w:gridCol w:w="1385"/>
      </w:tblGrid>
      <w:tr w:rsidR="00760877" w:rsidRPr="006D09E0" w14:paraId="3AB23171" w14:textId="77777777" w:rsidTr="008A3C97">
        <w:trPr>
          <w:trHeight w:val="623"/>
        </w:trPr>
        <w:tc>
          <w:tcPr>
            <w:tcW w:w="640" w:type="dxa"/>
            <w:tcBorders>
              <w:top w:val="nil"/>
              <w:left w:val="nil"/>
              <w:bottom w:val="nil"/>
              <w:right w:val="nil"/>
            </w:tcBorders>
            <w:shd w:val="clear" w:color="auto" w:fill="auto"/>
            <w:noWrap/>
            <w:vAlign w:val="bottom"/>
            <w:hideMark/>
          </w:tcPr>
          <w:p w14:paraId="05F10A01" w14:textId="77777777" w:rsidR="00760877" w:rsidRPr="006D09E0" w:rsidRDefault="00760877" w:rsidP="00760877">
            <w:pPr>
              <w:rPr>
                <w:rFonts w:ascii="Verdana" w:hAnsi="Verdana"/>
                <w:sz w:val="20"/>
                <w:szCs w:val="20"/>
                <w:lang w:eastAsia="en-GB"/>
              </w:rPr>
            </w:pPr>
          </w:p>
        </w:tc>
        <w:tc>
          <w:tcPr>
            <w:tcW w:w="1300" w:type="dxa"/>
            <w:tcBorders>
              <w:top w:val="nil"/>
              <w:left w:val="nil"/>
              <w:bottom w:val="nil"/>
              <w:right w:val="nil"/>
            </w:tcBorders>
            <w:shd w:val="clear" w:color="auto" w:fill="auto"/>
            <w:noWrap/>
            <w:vAlign w:val="bottom"/>
            <w:hideMark/>
          </w:tcPr>
          <w:p w14:paraId="0B197E8A"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w:t>
            </w:r>
          </w:p>
        </w:tc>
        <w:tc>
          <w:tcPr>
            <w:tcW w:w="1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8341F"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Hip fracture (inpatient)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9467BE"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Other fracture site (inpatient)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5CE62D"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Other fracture site (outpatient)</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F71374"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Clinical vertebral</w:t>
            </w:r>
          </w:p>
        </w:tc>
      </w:tr>
      <w:tr w:rsidR="00760877" w:rsidRPr="006D09E0" w14:paraId="6AA9DF27" w14:textId="77777777" w:rsidTr="008A3C97">
        <w:trPr>
          <w:trHeight w:val="289"/>
        </w:trPr>
        <w:tc>
          <w:tcPr>
            <w:tcW w:w="640" w:type="dxa"/>
            <w:tcBorders>
              <w:top w:val="nil"/>
              <w:left w:val="nil"/>
              <w:bottom w:val="nil"/>
              <w:right w:val="nil"/>
            </w:tcBorders>
            <w:shd w:val="clear" w:color="auto" w:fill="auto"/>
            <w:noWrap/>
            <w:vAlign w:val="bottom"/>
            <w:hideMark/>
          </w:tcPr>
          <w:p w14:paraId="611F8FE5" w14:textId="77777777" w:rsidR="00760877" w:rsidRPr="006D09E0" w:rsidRDefault="00760877" w:rsidP="00760877">
            <w:pPr>
              <w:jc w:val="center"/>
              <w:rPr>
                <w:rFonts w:ascii="Verdana" w:hAnsi="Verdana"/>
                <w:b/>
                <w:bCs/>
                <w:color w:val="000000"/>
                <w:sz w:val="20"/>
                <w:szCs w:val="20"/>
                <w:lang w:eastAsia="en-GB"/>
              </w:rPr>
            </w:pPr>
          </w:p>
        </w:tc>
        <w:tc>
          <w:tcPr>
            <w:tcW w:w="1300" w:type="dxa"/>
            <w:tcBorders>
              <w:top w:val="nil"/>
              <w:left w:val="nil"/>
              <w:bottom w:val="nil"/>
              <w:right w:val="nil"/>
            </w:tcBorders>
            <w:shd w:val="clear" w:color="auto" w:fill="auto"/>
            <w:noWrap/>
            <w:vAlign w:val="bottom"/>
            <w:hideMark/>
          </w:tcPr>
          <w:p w14:paraId="12E027D9"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1</w:t>
            </w:r>
          </w:p>
        </w:tc>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6579A3"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1BF838D6"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1CA91C52"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1EB04092" w14:textId="77777777" w:rsidR="00760877" w:rsidRPr="00BC21CF" w:rsidRDefault="00760877" w:rsidP="00760877">
            <w:pPr>
              <w:jc w:val="center"/>
              <w:rPr>
                <w:rFonts w:ascii="Verdana" w:hAnsi="Verdana"/>
                <w:bCs/>
                <w:color w:val="000000"/>
                <w:szCs w:val="22"/>
                <w:lang w:eastAsia="en-GB"/>
              </w:rPr>
            </w:pPr>
          </w:p>
        </w:tc>
      </w:tr>
      <w:tr w:rsidR="00760877" w:rsidRPr="006D09E0" w14:paraId="0B254365" w14:textId="77777777" w:rsidTr="008A3C97">
        <w:trPr>
          <w:trHeight w:val="300"/>
        </w:trPr>
        <w:tc>
          <w:tcPr>
            <w:tcW w:w="640" w:type="dxa"/>
            <w:tcBorders>
              <w:top w:val="nil"/>
              <w:left w:val="nil"/>
              <w:bottom w:val="nil"/>
              <w:right w:val="nil"/>
            </w:tcBorders>
            <w:shd w:val="clear" w:color="auto" w:fill="auto"/>
            <w:noWrap/>
            <w:vAlign w:val="bottom"/>
            <w:hideMark/>
          </w:tcPr>
          <w:p w14:paraId="11E2CB44" w14:textId="77777777" w:rsidR="00760877" w:rsidRPr="006D09E0" w:rsidRDefault="00760877" w:rsidP="00760877">
            <w:pPr>
              <w:jc w:val="right"/>
              <w:rPr>
                <w:rFonts w:ascii="Verdana" w:hAnsi="Verdana"/>
                <w:b/>
                <w:bCs/>
                <w:color w:val="000000"/>
                <w:szCs w:val="22"/>
                <w:lang w:eastAsia="en-GB"/>
              </w:rPr>
            </w:pPr>
          </w:p>
        </w:tc>
        <w:tc>
          <w:tcPr>
            <w:tcW w:w="1300" w:type="dxa"/>
            <w:tcBorders>
              <w:top w:val="nil"/>
              <w:left w:val="nil"/>
              <w:bottom w:val="nil"/>
              <w:right w:val="nil"/>
            </w:tcBorders>
            <w:shd w:val="clear" w:color="auto" w:fill="auto"/>
            <w:noWrap/>
            <w:vAlign w:val="bottom"/>
            <w:hideMark/>
          </w:tcPr>
          <w:p w14:paraId="449C98FD"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2</w:t>
            </w:r>
          </w:p>
        </w:tc>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A5FEF9"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693360DC"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317BFEB"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12A9F11" w14:textId="77777777" w:rsidR="00760877" w:rsidRPr="00BC21CF" w:rsidRDefault="00760877" w:rsidP="00760877">
            <w:pPr>
              <w:jc w:val="center"/>
              <w:rPr>
                <w:rFonts w:ascii="Verdana" w:hAnsi="Verdana"/>
                <w:bCs/>
                <w:color w:val="000000"/>
                <w:szCs w:val="22"/>
                <w:lang w:eastAsia="en-GB"/>
              </w:rPr>
            </w:pPr>
          </w:p>
        </w:tc>
      </w:tr>
      <w:tr w:rsidR="00760877" w:rsidRPr="006D09E0" w14:paraId="12474BF9" w14:textId="77777777" w:rsidTr="008A3C97">
        <w:trPr>
          <w:trHeight w:val="300"/>
        </w:trPr>
        <w:tc>
          <w:tcPr>
            <w:tcW w:w="640" w:type="dxa"/>
            <w:tcBorders>
              <w:top w:val="nil"/>
              <w:left w:val="nil"/>
              <w:bottom w:val="nil"/>
              <w:right w:val="nil"/>
            </w:tcBorders>
            <w:shd w:val="clear" w:color="auto" w:fill="auto"/>
            <w:noWrap/>
            <w:vAlign w:val="bottom"/>
            <w:hideMark/>
          </w:tcPr>
          <w:p w14:paraId="2F9722AE" w14:textId="77777777" w:rsidR="00760877" w:rsidRPr="006D09E0" w:rsidRDefault="00760877" w:rsidP="00760877">
            <w:pPr>
              <w:jc w:val="right"/>
              <w:rPr>
                <w:rFonts w:ascii="Verdana" w:hAnsi="Verdana"/>
                <w:b/>
                <w:bCs/>
                <w:color w:val="000000"/>
                <w:szCs w:val="22"/>
                <w:lang w:eastAsia="en-GB"/>
              </w:rPr>
            </w:pPr>
          </w:p>
        </w:tc>
        <w:tc>
          <w:tcPr>
            <w:tcW w:w="1300" w:type="dxa"/>
            <w:tcBorders>
              <w:top w:val="nil"/>
              <w:left w:val="nil"/>
              <w:bottom w:val="nil"/>
              <w:right w:val="nil"/>
            </w:tcBorders>
            <w:shd w:val="clear" w:color="auto" w:fill="auto"/>
            <w:noWrap/>
            <w:vAlign w:val="bottom"/>
            <w:hideMark/>
          </w:tcPr>
          <w:p w14:paraId="541A2E66"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3</w:t>
            </w:r>
          </w:p>
        </w:tc>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72D9F2"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501FD90D"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0D6B424"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7C9C2E9" w14:textId="77777777" w:rsidR="00760877" w:rsidRPr="00BC21CF" w:rsidRDefault="00760877" w:rsidP="00760877">
            <w:pPr>
              <w:jc w:val="center"/>
              <w:rPr>
                <w:rFonts w:ascii="Verdana" w:hAnsi="Verdana"/>
                <w:bCs/>
                <w:color w:val="000000"/>
                <w:szCs w:val="22"/>
                <w:lang w:eastAsia="en-GB"/>
              </w:rPr>
            </w:pPr>
          </w:p>
        </w:tc>
      </w:tr>
      <w:tr w:rsidR="00760877" w:rsidRPr="006D09E0" w14:paraId="322AE80B" w14:textId="77777777" w:rsidTr="008A3C97">
        <w:trPr>
          <w:trHeight w:val="300"/>
        </w:trPr>
        <w:tc>
          <w:tcPr>
            <w:tcW w:w="640" w:type="dxa"/>
            <w:tcBorders>
              <w:top w:val="nil"/>
              <w:left w:val="nil"/>
              <w:bottom w:val="nil"/>
              <w:right w:val="nil"/>
            </w:tcBorders>
            <w:shd w:val="clear" w:color="auto" w:fill="auto"/>
            <w:noWrap/>
            <w:vAlign w:val="bottom"/>
            <w:hideMark/>
          </w:tcPr>
          <w:p w14:paraId="543A5584" w14:textId="77777777" w:rsidR="00760877" w:rsidRPr="006D09E0" w:rsidRDefault="00760877" w:rsidP="00760877">
            <w:pPr>
              <w:jc w:val="right"/>
              <w:rPr>
                <w:rFonts w:ascii="Verdana" w:hAnsi="Verdana"/>
                <w:b/>
                <w:bCs/>
                <w:color w:val="000000"/>
                <w:szCs w:val="22"/>
                <w:lang w:eastAsia="en-GB"/>
              </w:rPr>
            </w:pPr>
          </w:p>
        </w:tc>
        <w:tc>
          <w:tcPr>
            <w:tcW w:w="1300" w:type="dxa"/>
            <w:tcBorders>
              <w:top w:val="nil"/>
              <w:left w:val="nil"/>
              <w:bottom w:val="nil"/>
              <w:right w:val="nil"/>
            </w:tcBorders>
            <w:shd w:val="clear" w:color="auto" w:fill="auto"/>
            <w:noWrap/>
            <w:vAlign w:val="bottom"/>
            <w:hideMark/>
          </w:tcPr>
          <w:p w14:paraId="5CEF7C6C"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4</w:t>
            </w:r>
          </w:p>
        </w:tc>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852269"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1085F48F"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E03C054"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0F64110" w14:textId="77777777" w:rsidR="00760877" w:rsidRPr="00BC21CF" w:rsidRDefault="00760877" w:rsidP="00760877">
            <w:pPr>
              <w:jc w:val="center"/>
              <w:rPr>
                <w:rFonts w:ascii="Verdana" w:hAnsi="Verdana"/>
                <w:bCs/>
                <w:color w:val="000000"/>
                <w:szCs w:val="22"/>
                <w:lang w:eastAsia="en-GB"/>
              </w:rPr>
            </w:pPr>
          </w:p>
        </w:tc>
      </w:tr>
      <w:tr w:rsidR="00760877" w:rsidRPr="006D09E0" w14:paraId="506F3C92" w14:textId="77777777" w:rsidTr="008A3C97">
        <w:trPr>
          <w:trHeight w:val="300"/>
        </w:trPr>
        <w:tc>
          <w:tcPr>
            <w:tcW w:w="640" w:type="dxa"/>
            <w:tcBorders>
              <w:top w:val="nil"/>
              <w:left w:val="nil"/>
              <w:bottom w:val="nil"/>
              <w:right w:val="nil"/>
            </w:tcBorders>
            <w:shd w:val="clear" w:color="auto" w:fill="auto"/>
            <w:noWrap/>
            <w:vAlign w:val="bottom"/>
            <w:hideMark/>
          </w:tcPr>
          <w:p w14:paraId="3314B0C2" w14:textId="77777777" w:rsidR="00760877" w:rsidRPr="006D09E0" w:rsidRDefault="00760877" w:rsidP="00760877">
            <w:pPr>
              <w:jc w:val="right"/>
              <w:rPr>
                <w:rFonts w:ascii="Verdana" w:hAnsi="Verdana"/>
                <w:b/>
                <w:bCs/>
                <w:color w:val="000000"/>
                <w:szCs w:val="22"/>
                <w:lang w:eastAsia="en-GB"/>
              </w:rPr>
            </w:pPr>
          </w:p>
        </w:tc>
        <w:tc>
          <w:tcPr>
            <w:tcW w:w="1300" w:type="dxa"/>
            <w:tcBorders>
              <w:top w:val="nil"/>
              <w:left w:val="nil"/>
              <w:bottom w:val="nil"/>
              <w:right w:val="nil"/>
            </w:tcBorders>
            <w:shd w:val="clear" w:color="auto" w:fill="auto"/>
            <w:noWrap/>
            <w:vAlign w:val="bottom"/>
            <w:hideMark/>
          </w:tcPr>
          <w:p w14:paraId="3BCDD63F"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5</w:t>
            </w:r>
          </w:p>
        </w:tc>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A10B92"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5745D454"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2CEF70C2" w14:textId="77777777" w:rsidR="00760877" w:rsidRPr="00BC21CF" w:rsidRDefault="00760877" w:rsidP="00760877">
            <w:pPr>
              <w:jc w:val="center"/>
              <w:rPr>
                <w:rFonts w:ascii="Verdana" w:hAnsi="Verdana"/>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8C59EEF" w14:textId="77777777" w:rsidR="00760877" w:rsidRPr="00BC21CF" w:rsidRDefault="00760877" w:rsidP="00760877">
            <w:pPr>
              <w:jc w:val="center"/>
              <w:rPr>
                <w:rFonts w:ascii="Verdana" w:hAnsi="Verdana"/>
                <w:bCs/>
                <w:color w:val="000000"/>
                <w:szCs w:val="22"/>
                <w:lang w:eastAsia="en-GB"/>
              </w:rPr>
            </w:pPr>
          </w:p>
        </w:tc>
      </w:tr>
      <w:tr w:rsidR="00760877" w:rsidRPr="006D09E0" w14:paraId="15279672" w14:textId="77777777" w:rsidTr="008A3C97">
        <w:trPr>
          <w:trHeight w:val="300"/>
        </w:trPr>
        <w:tc>
          <w:tcPr>
            <w:tcW w:w="640" w:type="dxa"/>
            <w:tcBorders>
              <w:top w:val="nil"/>
              <w:left w:val="nil"/>
              <w:bottom w:val="nil"/>
              <w:right w:val="nil"/>
            </w:tcBorders>
            <w:shd w:val="clear" w:color="auto" w:fill="auto"/>
            <w:noWrap/>
            <w:vAlign w:val="bottom"/>
            <w:hideMark/>
          </w:tcPr>
          <w:p w14:paraId="56738FB8" w14:textId="77777777" w:rsidR="00760877" w:rsidRPr="006D09E0" w:rsidRDefault="00760877" w:rsidP="00760877">
            <w:pPr>
              <w:jc w:val="right"/>
              <w:rPr>
                <w:rFonts w:ascii="Verdana" w:hAnsi="Verdana"/>
                <w:b/>
                <w:bCs/>
                <w:color w:val="000000"/>
                <w:szCs w:val="22"/>
                <w:lang w:eastAsia="en-GB"/>
              </w:rPr>
            </w:pPr>
          </w:p>
        </w:tc>
        <w:tc>
          <w:tcPr>
            <w:tcW w:w="1300" w:type="dxa"/>
            <w:tcBorders>
              <w:top w:val="nil"/>
              <w:left w:val="nil"/>
              <w:bottom w:val="nil"/>
              <w:right w:val="nil"/>
            </w:tcBorders>
            <w:shd w:val="clear" w:color="auto" w:fill="auto"/>
            <w:noWrap/>
            <w:vAlign w:val="bottom"/>
            <w:hideMark/>
          </w:tcPr>
          <w:p w14:paraId="2A5D6827" w14:textId="77777777" w:rsidR="00760877" w:rsidRPr="006D09E0" w:rsidRDefault="00760877" w:rsidP="00760877">
            <w:pPr>
              <w:rPr>
                <w:rFonts w:ascii="Verdana" w:hAnsi="Verdana"/>
                <w:b/>
                <w:bCs/>
                <w:color w:val="000000"/>
                <w:szCs w:val="22"/>
                <w:lang w:eastAsia="en-GB"/>
              </w:rPr>
            </w:pPr>
            <w:r w:rsidRPr="006D09E0">
              <w:rPr>
                <w:rFonts w:ascii="Verdana" w:hAnsi="Verdana"/>
                <w:b/>
                <w:bCs/>
                <w:color w:val="000000"/>
                <w:szCs w:val="22"/>
                <w:lang w:eastAsia="en-GB"/>
              </w:rPr>
              <w:t>All years</w:t>
            </w:r>
          </w:p>
        </w:tc>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715FA1" w14:textId="77777777" w:rsidR="00760877" w:rsidRPr="00BC21CF" w:rsidRDefault="00760877" w:rsidP="00760877">
            <w:pPr>
              <w:jc w:val="center"/>
              <w:rPr>
                <w:rFonts w:ascii="Verdana" w:hAnsi="Verdana"/>
                <w:b/>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046E9DED" w14:textId="77777777" w:rsidR="00760877" w:rsidRPr="00BC21CF" w:rsidRDefault="00760877" w:rsidP="00760877">
            <w:pPr>
              <w:jc w:val="center"/>
              <w:rPr>
                <w:rFonts w:ascii="Verdana" w:hAnsi="Verdana"/>
                <w:b/>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22AD38EF" w14:textId="77777777" w:rsidR="00760877" w:rsidRPr="00BC21CF" w:rsidRDefault="00760877" w:rsidP="00760877">
            <w:pPr>
              <w:jc w:val="center"/>
              <w:rPr>
                <w:rFonts w:ascii="Verdana" w:hAnsi="Verdana"/>
                <w:b/>
                <w:bCs/>
                <w:color w:val="000000"/>
                <w:szCs w:val="22"/>
                <w:lang w:eastAsia="en-GB"/>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6A6DE643" w14:textId="77777777" w:rsidR="00760877" w:rsidRPr="00BC21CF" w:rsidRDefault="00760877" w:rsidP="00760877">
            <w:pPr>
              <w:jc w:val="center"/>
              <w:rPr>
                <w:rFonts w:ascii="Verdana" w:hAnsi="Verdana"/>
                <w:b/>
                <w:bCs/>
                <w:color w:val="000000"/>
                <w:szCs w:val="22"/>
                <w:lang w:eastAsia="en-GB"/>
              </w:rPr>
            </w:pPr>
          </w:p>
        </w:tc>
      </w:tr>
    </w:tbl>
    <w:p w14:paraId="2AC361CA" w14:textId="77777777" w:rsidR="00760877" w:rsidRPr="006D09E0" w:rsidRDefault="00760877" w:rsidP="00760877">
      <w:pPr>
        <w:spacing w:after="120"/>
        <w:jc w:val="both"/>
        <w:rPr>
          <w:rFonts w:ascii="Verdana" w:hAnsi="Verdana" w:cs="Arial"/>
          <w:b/>
          <w:szCs w:val="22"/>
        </w:rPr>
      </w:pPr>
    </w:p>
    <w:p w14:paraId="115808A4" w14:textId="75D1096F" w:rsidR="00760877" w:rsidRPr="006D09E0" w:rsidRDefault="00760877" w:rsidP="002756E7">
      <w:pPr>
        <w:spacing w:after="120"/>
        <w:jc w:val="both"/>
        <w:rPr>
          <w:rFonts w:ascii="Verdana" w:hAnsi="Verdana"/>
        </w:rPr>
      </w:pPr>
      <w:bookmarkStart w:id="5" w:name="_Hlk535586165"/>
      <w:r w:rsidRPr="00337C96">
        <w:rPr>
          <w:rFonts w:ascii="Verdana" w:hAnsi="Verdana"/>
          <w:bCs/>
        </w:rPr>
        <w:t>Based on the number of fractures prevented, the ROS FLS Benefits Calculator</w:t>
      </w:r>
      <w:r>
        <w:rPr>
          <w:rStyle w:val="EndnoteReference"/>
          <w:rFonts w:ascii="Verdana" w:hAnsi="Verdana"/>
          <w:bCs/>
        </w:rPr>
        <w:endnoteRef/>
      </w:r>
      <w:r w:rsidRPr="00337C96">
        <w:rPr>
          <w:rFonts w:ascii="Verdana" w:hAnsi="Verdana"/>
        </w:rPr>
        <w:t xml:space="preserve"> </w:t>
      </w:r>
      <w:r w:rsidR="0015121C" w:rsidRPr="0015121C">
        <w:rPr>
          <w:rFonts w:ascii="Verdana" w:hAnsi="Verdana"/>
          <w:b/>
          <w:bCs/>
        </w:rPr>
        <w:t xml:space="preserve">[if you </w:t>
      </w:r>
      <w:proofErr w:type="gramStart"/>
      <w:r w:rsidR="0015121C" w:rsidRPr="0015121C">
        <w:rPr>
          <w:rFonts w:ascii="Verdana" w:hAnsi="Verdana"/>
          <w:b/>
          <w:bCs/>
        </w:rPr>
        <w:t>are able to</w:t>
      </w:r>
      <w:proofErr w:type="gramEnd"/>
      <w:r w:rsidR="0015121C" w:rsidRPr="0015121C">
        <w:rPr>
          <w:rFonts w:ascii="Verdana" w:hAnsi="Verdana"/>
          <w:b/>
          <w:bCs/>
        </w:rPr>
        <w:t xml:space="preserve"> do this yourself please delete ROS Calculator reference here]</w:t>
      </w:r>
      <w:r w:rsidR="0015121C">
        <w:rPr>
          <w:rFonts w:ascii="Verdana" w:hAnsi="Verdana"/>
        </w:rPr>
        <w:t xml:space="preserve"> </w:t>
      </w:r>
      <w:r w:rsidRPr="00337C96">
        <w:rPr>
          <w:rFonts w:ascii="Verdana" w:hAnsi="Verdana"/>
        </w:rPr>
        <w:t xml:space="preserve">estimates that the expected gross benefit to the local health and social care system by having an FLS based at </w:t>
      </w:r>
      <w:bookmarkEnd w:id="5"/>
      <w:r w:rsidRPr="00337C96">
        <w:rPr>
          <w:rFonts w:ascii="Verdana" w:hAnsi="Verdana"/>
          <w:b/>
        </w:rPr>
        <w:t>[insert name of organisation]</w:t>
      </w:r>
      <w:r w:rsidRPr="00337C96">
        <w:rPr>
          <w:rFonts w:ascii="Verdana" w:hAnsi="Verdana"/>
        </w:rPr>
        <w:t xml:space="preserve"> is shown below:</w:t>
      </w:r>
    </w:p>
    <w:tbl>
      <w:tblPr>
        <w:tblW w:w="8755" w:type="dxa"/>
        <w:tblLook w:val="04A0" w:firstRow="1" w:lastRow="0" w:firstColumn="1" w:lastColumn="0" w:noHBand="0" w:noVBand="1"/>
      </w:tblPr>
      <w:tblGrid>
        <w:gridCol w:w="1300"/>
        <w:gridCol w:w="1463"/>
        <w:gridCol w:w="1463"/>
        <w:gridCol w:w="1604"/>
        <w:gridCol w:w="1430"/>
        <w:gridCol w:w="222"/>
        <w:gridCol w:w="1273"/>
      </w:tblGrid>
      <w:tr w:rsidR="00760877" w:rsidRPr="006D09E0" w14:paraId="66CCC1C6" w14:textId="77777777" w:rsidTr="008A3C97">
        <w:trPr>
          <w:trHeight w:val="855"/>
        </w:trPr>
        <w:tc>
          <w:tcPr>
            <w:tcW w:w="1300" w:type="dxa"/>
            <w:tcBorders>
              <w:top w:val="nil"/>
              <w:left w:val="nil"/>
              <w:bottom w:val="nil"/>
              <w:right w:val="nil"/>
            </w:tcBorders>
            <w:shd w:val="clear" w:color="auto" w:fill="auto"/>
            <w:noWrap/>
            <w:vAlign w:val="bottom"/>
            <w:hideMark/>
          </w:tcPr>
          <w:p w14:paraId="795036D8"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4F050"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Hip fracture (inpatient)</w:t>
            </w:r>
          </w:p>
        </w:tc>
        <w:tc>
          <w:tcPr>
            <w:tcW w:w="14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93D9A4"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Other fracture site (inpatient)</w:t>
            </w:r>
          </w:p>
        </w:tc>
        <w:tc>
          <w:tcPr>
            <w:tcW w:w="14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116BB4"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Other fracture site (outpatient)</w:t>
            </w:r>
          </w:p>
        </w:tc>
        <w:tc>
          <w:tcPr>
            <w:tcW w:w="14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DAD6F"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Clinical vertebral</w:t>
            </w:r>
          </w:p>
        </w:tc>
        <w:tc>
          <w:tcPr>
            <w:tcW w:w="222" w:type="dxa"/>
            <w:tcBorders>
              <w:top w:val="nil"/>
              <w:left w:val="nil"/>
              <w:bottom w:val="nil"/>
              <w:right w:val="nil"/>
            </w:tcBorders>
            <w:shd w:val="clear" w:color="auto" w:fill="auto"/>
            <w:noWrap/>
            <w:vAlign w:val="bottom"/>
            <w:hideMark/>
          </w:tcPr>
          <w:p w14:paraId="08D35B63" w14:textId="77777777" w:rsidR="00760877" w:rsidRPr="006D09E0" w:rsidRDefault="00760877" w:rsidP="00760877">
            <w:pPr>
              <w:jc w:val="center"/>
              <w:rPr>
                <w:rFonts w:ascii="Verdana" w:hAnsi="Verdana"/>
                <w:b/>
                <w:bCs/>
                <w:color w:val="000000"/>
                <w:sz w:val="20"/>
                <w:szCs w:val="20"/>
                <w:lang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59332" w14:textId="77777777" w:rsidR="00760877" w:rsidRPr="006D09E0" w:rsidRDefault="00760877" w:rsidP="00760877">
            <w:pPr>
              <w:jc w:val="center"/>
              <w:rPr>
                <w:rFonts w:ascii="Verdana" w:hAnsi="Verdana"/>
                <w:b/>
                <w:bCs/>
                <w:color w:val="000000"/>
                <w:sz w:val="20"/>
                <w:szCs w:val="20"/>
                <w:lang w:eastAsia="en-GB"/>
              </w:rPr>
            </w:pPr>
            <w:r w:rsidRPr="006D09E0">
              <w:rPr>
                <w:rFonts w:ascii="Verdana" w:hAnsi="Verdana"/>
                <w:b/>
                <w:bCs/>
                <w:color w:val="000000"/>
                <w:sz w:val="20"/>
                <w:szCs w:val="20"/>
                <w:lang w:eastAsia="en-GB"/>
              </w:rPr>
              <w:t>Total</w:t>
            </w:r>
          </w:p>
        </w:tc>
      </w:tr>
      <w:tr w:rsidR="00760877" w:rsidRPr="006D09E0" w14:paraId="61C3B250" w14:textId="77777777" w:rsidTr="008A3C97">
        <w:trPr>
          <w:trHeight w:val="300"/>
        </w:trPr>
        <w:tc>
          <w:tcPr>
            <w:tcW w:w="1300" w:type="dxa"/>
            <w:tcBorders>
              <w:top w:val="nil"/>
              <w:left w:val="nil"/>
              <w:bottom w:val="nil"/>
              <w:right w:val="nil"/>
            </w:tcBorders>
            <w:shd w:val="clear" w:color="auto" w:fill="auto"/>
            <w:noWrap/>
            <w:vAlign w:val="bottom"/>
            <w:hideMark/>
          </w:tcPr>
          <w:p w14:paraId="5832B640" w14:textId="77777777" w:rsidR="00760877" w:rsidRPr="006D09E0" w:rsidRDefault="00760877" w:rsidP="00760877">
            <w:pPr>
              <w:jc w:val="center"/>
              <w:rPr>
                <w:rFonts w:ascii="Verdana" w:hAnsi="Verdana"/>
                <w:b/>
                <w:bCs/>
                <w:color w:val="000000"/>
                <w:szCs w:val="22"/>
                <w:lang w:eastAsia="en-GB"/>
              </w:rPr>
            </w:pPr>
            <w:r>
              <w:rPr>
                <w:rFonts w:ascii="Verdana" w:hAnsi="Verdana"/>
                <w:b/>
                <w:bCs/>
                <w:color w:val="000000"/>
                <w:szCs w:val="22"/>
                <w:lang w:eastAsia="en-GB"/>
              </w:rPr>
              <w:t>1</w:t>
            </w:r>
          </w:p>
        </w:tc>
        <w:tc>
          <w:tcPr>
            <w:tcW w:w="1467" w:type="dxa"/>
            <w:tcBorders>
              <w:top w:val="nil"/>
              <w:left w:val="single" w:sz="4" w:space="0" w:color="auto"/>
              <w:bottom w:val="single" w:sz="4" w:space="0" w:color="auto"/>
              <w:right w:val="single" w:sz="4" w:space="0" w:color="auto"/>
            </w:tcBorders>
            <w:shd w:val="clear" w:color="auto" w:fill="FFFFFF" w:themeFill="background1"/>
            <w:vAlign w:val="center"/>
          </w:tcPr>
          <w:p w14:paraId="2C868F9D" w14:textId="77777777" w:rsidR="00760877" w:rsidRPr="008D2ACF" w:rsidRDefault="00760877" w:rsidP="00760877">
            <w:pPr>
              <w:jc w:val="center"/>
              <w:rPr>
                <w:rFonts w:ascii="Verdana" w:hAnsi="Verdana"/>
                <w:bCs/>
                <w:color w:val="000000"/>
                <w:szCs w:val="22"/>
                <w:lang w:eastAsia="en-GB"/>
              </w:rPr>
            </w:pPr>
          </w:p>
        </w:tc>
        <w:tc>
          <w:tcPr>
            <w:tcW w:w="1467" w:type="dxa"/>
            <w:tcBorders>
              <w:top w:val="nil"/>
              <w:left w:val="nil"/>
              <w:bottom w:val="single" w:sz="4" w:space="0" w:color="auto"/>
              <w:right w:val="single" w:sz="4" w:space="0" w:color="auto"/>
            </w:tcBorders>
            <w:shd w:val="clear" w:color="auto" w:fill="FFFFFF" w:themeFill="background1"/>
            <w:vAlign w:val="center"/>
          </w:tcPr>
          <w:p w14:paraId="4140561F" w14:textId="77777777" w:rsidR="00760877" w:rsidRPr="008D2ACF" w:rsidRDefault="00760877" w:rsidP="00760877">
            <w:pPr>
              <w:jc w:val="center"/>
              <w:rPr>
                <w:rFonts w:ascii="Verdana" w:hAnsi="Verdana"/>
                <w:bCs/>
                <w:color w:val="000000"/>
                <w:szCs w:val="22"/>
                <w:lang w:eastAsia="en-GB"/>
              </w:rPr>
            </w:pPr>
          </w:p>
        </w:tc>
        <w:tc>
          <w:tcPr>
            <w:tcW w:w="1472" w:type="dxa"/>
            <w:tcBorders>
              <w:top w:val="nil"/>
              <w:left w:val="nil"/>
              <w:bottom w:val="single" w:sz="4" w:space="0" w:color="auto"/>
              <w:right w:val="single" w:sz="4" w:space="0" w:color="auto"/>
            </w:tcBorders>
            <w:shd w:val="clear" w:color="auto" w:fill="FFFFFF" w:themeFill="background1"/>
            <w:vAlign w:val="center"/>
          </w:tcPr>
          <w:p w14:paraId="5C34C62A" w14:textId="77777777" w:rsidR="00760877" w:rsidRPr="008D2ACF" w:rsidRDefault="00760877" w:rsidP="00760877">
            <w:pPr>
              <w:jc w:val="center"/>
              <w:rPr>
                <w:rFonts w:ascii="Verdana" w:hAnsi="Verdana"/>
                <w:bCs/>
                <w:color w:val="000000"/>
                <w:szCs w:val="22"/>
                <w:lang w:eastAsia="en-GB"/>
              </w:rPr>
            </w:pPr>
          </w:p>
        </w:tc>
        <w:tc>
          <w:tcPr>
            <w:tcW w:w="1464" w:type="dxa"/>
            <w:tcBorders>
              <w:top w:val="nil"/>
              <w:left w:val="nil"/>
              <w:bottom w:val="single" w:sz="4" w:space="0" w:color="auto"/>
              <w:right w:val="single" w:sz="4" w:space="0" w:color="auto"/>
            </w:tcBorders>
            <w:shd w:val="clear" w:color="auto" w:fill="FFFFFF" w:themeFill="background1"/>
            <w:vAlign w:val="center"/>
          </w:tcPr>
          <w:p w14:paraId="6FA33077" w14:textId="77777777" w:rsidR="00760877" w:rsidRPr="008D2ACF" w:rsidRDefault="00760877" w:rsidP="00760877">
            <w:pPr>
              <w:jc w:val="center"/>
              <w:rPr>
                <w:rFonts w:ascii="Verdana" w:hAnsi="Verdana"/>
                <w:bCs/>
                <w:color w:val="000000"/>
                <w:szCs w:val="22"/>
                <w:lang w:eastAsia="en-GB"/>
              </w:rPr>
            </w:pPr>
          </w:p>
        </w:tc>
        <w:tc>
          <w:tcPr>
            <w:tcW w:w="222" w:type="dxa"/>
            <w:tcBorders>
              <w:top w:val="nil"/>
              <w:left w:val="nil"/>
              <w:bottom w:val="nil"/>
              <w:right w:val="nil"/>
            </w:tcBorders>
            <w:shd w:val="clear" w:color="auto" w:fill="FFFFFF" w:themeFill="background1"/>
            <w:noWrap/>
            <w:vAlign w:val="bottom"/>
          </w:tcPr>
          <w:p w14:paraId="6287450E" w14:textId="77777777" w:rsidR="00760877" w:rsidRPr="006D09E0" w:rsidRDefault="00760877" w:rsidP="00760877">
            <w:pPr>
              <w:jc w:val="center"/>
              <w:rPr>
                <w:rFonts w:ascii="Verdana" w:hAnsi="Verdana"/>
                <w:b/>
                <w:bCs/>
                <w:color w:val="000000"/>
                <w:szCs w:val="22"/>
                <w:lang w:eastAsia="en-GB"/>
              </w:rPr>
            </w:pPr>
          </w:p>
        </w:tc>
        <w:tc>
          <w:tcPr>
            <w:tcW w:w="1363" w:type="dxa"/>
            <w:tcBorders>
              <w:top w:val="nil"/>
              <w:left w:val="single" w:sz="4" w:space="0" w:color="auto"/>
              <w:bottom w:val="single" w:sz="4" w:space="0" w:color="auto"/>
              <w:right w:val="single" w:sz="4" w:space="0" w:color="auto"/>
            </w:tcBorders>
            <w:shd w:val="clear" w:color="auto" w:fill="FFFFFF" w:themeFill="background1"/>
            <w:vAlign w:val="center"/>
          </w:tcPr>
          <w:p w14:paraId="7A7125CA" w14:textId="77777777" w:rsidR="00760877" w:rsidRPr="006D09E0" w:rsidRDefault="00760877" w:rsidP="00760877">
            <w:pPr>
              <w:jc w:val="center"/>
              <w:rPr>
                <w:rFonts w:ascii="Verdana" w:hAnsi="Verdana"/>
                <w:b/>
                <w:bCs/>
                <w:color w:val="000000"/>
                <w:szCs w:val="22"/>
                <w:lang w:eastAsia="en-GB"/>
              </w:rPr>
            </w:pPr>
          </w:p>
        </w:tc>
      </w:tr>
      <w:tr w:rsidR="00760877" w:rsidRPr="006D09E0" w14:paraId="59C55821" w14:textId="77777777" w:rsidTr="008A3C97">
        <w:trPr>
          <w:trHeight w:val="300"/>
        </w:trPr>
        <w:tc>
          <w:tcPr>
            <w:tcW w:w="1300" w:type="dxa"/>
            <w:tcBorders>
              <w:top w:val="nil"/>
              <w:left w:val="nil"/>
              <w:bottom w:val="nil"/>
              <w:right w:val="nil"/>
            </w:tcBorders>
            <w:shd w:val="clear" w:color="auto" w:fill="auto"/>
            <w:noWrap/>
            <w:vAlign w:val="bottom"/>
            <w:hideMark/>
          </w:tcPr>
          <w:p w14:paraId="2B9C91B0" w14:textId="77777777" w:rsidR="00760877" w:rsidRPr="006D09E0" w:rsidRDefault="00760877" w:rsidP="00760877">
            <w:pPr>
              <w:jc w:val="center"/>
              <w:rPr>
                <w:rFonts w:ascii="Verdana" w:hAnsi="Verdana"/>
                <w:b/>
                <w:bCs/>
                <w:color w:val="000000"/>
                <w:szCs w:val="22"/>
                <w:lang w:eastAsia="en-GB"/>
              </w:rPr>
            </w:pPr>
            <w:r>
              <w:rPr>
                <w:rFonts w:ascii="Verdana" w:hAnsi="Verdana"/>
                <w:b/>
                <w:bCs/>
                <w:color w:val="000000"/>
                <w:szCs w:val="22"/>
                <w:lang w:eastAsia="en-GB"/>
              </w:rPr>
              <w:t>2</w:t>
            </w:r>
          </w:p>
        </w:tc>
        <w:tc>
          <w:tcPr>
            <w:tcW w:w="1467" w:type="dxa"/>
            <w:tcBorders>
              <w:top w:val="nil"/>
              <w:left w:val="single" w:sz="4" w:space="0" w:color="auto"/>
              <w:bottom w:val="single" w:sz="4" w:space="0" w:color="auto"/>
              <w:right w:val="single" w:sz="4" w:space="0" w:color="auto"/>
            </w:tcBorders>
            <w:shd w:val="clear" w:color="auto" w:fill="FFFFFF" w:themeFill="background1"/>
            <w:vAlign w:val="center"/>
          </w:tcPr>
          <w:p w14:paraId="308DD29F" w14:textId="77777777" w:rsidR="00760877" w:rsidRPr="008D2ACF" w:rsidRDefault="00760877" w:rsidP="00760877">
            <w:pPr>
              <w:jc w:val="center"/>
              <w:rPr>
                <w:rFonts w:ascii="Verdana" w:hAnsi="Verdana"/>
                <w:bCs/>
                <w:color w:val="000000"/>
                <w:szCs w:val="22"/>
                <w:lang w:eastAsia="en-GB"/>
              </w:rPr>
            </w:pPr>
          </w:p>
        </w:tc>
        <w:tc>
          <w:tcPr>
            <w:tcW w:w="1467" w:type="dxa"/>
            <w:tcBorders>
              <w:top w:val="nil"/>
              <w:left w:val="nil"/>
              <w:bottom w:val="single" w:sz="4" w:space="0" w:color="auto"/>
              <w:right w:val="single" w:sz="4" w:space="0" w:color="auto"/>
            </w:tcBorders>
            <w:shd w:val="clear" w:color="auto" w:fill="FFFFFF" w:themeFill="background1"/>
            <w:vAlign w:val="center"/>
          </w:tcPr>
          <w:p w14:paraId="4BD5F4C1" w14:textId="77777777" w:rsidR="00760877" w:rsidRPr="008D2ACF" w:rsidRDefault="00760877" w:rsidP="00760877">
            <w:pPr>
              <w:jc w:val="center"/>
              <w:rPr>
                <w:rFonts w:ascii="Verdana" w:hAnsi="Verdana"/>
                <w:bCs/>
                <w:color w:val="000000"/>
                <w:szCs w:val="22"/>
                <w:lang w:eastAsia="en-GB"/>
              </w:rPr>
            </w:pPr>
          </w:p>
        </w:tc>
        <w:tc>
          <w:tcPr>
            <w:tcW w:w="1472" w:type="dxa"/>
            <w:tcBorders>
              <w:top w:val="nil"/>
              <w:left w:val="nil"/>
              <w:bottom w:val="single" w:sz="4" w:space="0" w:color="auto"/>
              <w:right w:val="single" w:sz="4" w:space="0" w:color="auto"/>
            </w:tcBorders>
            <w:shd w:val="clear" w:color="auto" w:fill="FFFFFF" w:themeFill="background1"/>
            <w:vAlign w:val="center"/>
          </w:tcPr>
          <w:p w14:paraId="6A1B6587" w14:textId="77777777" w:rsidR="00760877" w:rsidRPr="008D2ACF" w:rsidRDefault="00760877" w:rsidP="00760877">
            <w:pPr>
              <w:jc w:val="center"/>
              <w:rPr>
                <w:rFonts w:ascii="Verdana" w:hAnsi="Verdana"/>
                <w:bCs/>
                <w:color w:val="000000"/>
                <w:szCs w:val="22"/>
                <w:lang w:eastAsia="en-GB"/>
              </w:rPr>
            </w:pPr>
          </w:p>
        </w:tc>
        <w:tc>
          <w:tcPr>
            <w:tcW w:w="1464" w:type="dxa"/>
            <w:tcBorders>
              <w:top w:val="nil"/>
              <w:left w:val="nil"/>
              <w:bottom w:val="single" w:sz="4" w:space="0" w:color="auto"/>
              <w:right w:val="single" w:sz="4" w:space="0" w:color="auto"/>
            </w:tcBorders>
            <w:shd w:val="clear" w:color="auto" w:fill="FFFFFF" w:themeFill="background1"/>
            <w:vAlign w:val="center"/>
          </w:tcPr>
          <w:p w14:paraId="3812EEF2" w14:textId="77777777" w:rsidR="00760877" w:rsidRPr="008D2ACF" w:rsidRDefault="00760877" w:rsidP="00760877">
            <w:pPr>
              <w:jc w:val="center"/>
              <w:rPr>
                <w:rFonts w:ascii="Verdana" w:hAnsi="Verdana"/>
                <w:bCs/>
                <w:color w:val="000000"/>
                <w:szCs w:val="22"/>
                <w:lang w:eastAsia="en-GB"/>
              </w:rPr>
            </w:pPr>
          </w:p>
        </w:tc>
        <w:tc>
          <w:tcPr>
            <w:tcW w:w="222" w:type="dxa"/>
            <w:tcBorders>
              <w:top w:val="nil"/>
              <w:left w:val="nil"/>
              <w:bottom w:val="nil"/>
              <w:right w:val="nil"/>
            </w:tcBorders>
            <w:shd w:val="clear" w:color="auto" w:fill="FFFFFF" w:themeFill="background1"/>
            <w:noWrap/>
            <w:vAlign w:val="bottom"/>
          </w:tcPr>
          <w:p w14:paraId="496579E7" w14:textId="77777777" w:rsidR="00760877" w:rsidRPr="006D09E0" w:rsidRDefault="00760877" w:rsidP="00760877">
            <w:pPr>
              <w:jc w:val="center"/>
              <w:rPr>
                <w:rFonts w:ascii="Verdana" w:hAnsi="Verdana"/>
                <w:b/>
                <w:bCs/>
                <w:color w:val="000000"/>
                <w:szCs w:val="22"/>
                <w:lang w:eastAsia="en-GB"/>
              </w:rPr>
            </w:pPr>
          </w:p>
        </w:tc>
        <w:tc>
          <w:tcPr>
            <w:tcW w:w="1363" w:type="dxa"/>
            <w:tcBorders>
              <w:top w:val="nil"/>
              <w:left w:val="single" w:sz="4" w:space="0" w:color="auto"/>
              <w:bottom w:val="single" w:sz="4" w:space="0" w:color="auto"/>
              <w:right w:val="single" w:sz="4" w:space="0" w:color="auto"/>
            </w:tcBorders>
            <w:shd w:val="clear" w:color="auto" w:fill="FFFFFF" w:themeFill="background1"/>
          </w:tcPr>
          <w:p w14:paraId="55027167" w14:textId="77777777" w:rsidR="00760877" w:rsidRPr="006D09E0" w:rsidRDefault="00760877" w:rsidP="00760877">
            <w:pPr>
              <w:jc w:val="center"/>
              <w:rPr>
                <w:rFonts w:ascii="Verdana" w:hAnsi="Verdana"/>
                <w:b/>
                <w:bCs/>
                <w:color w:val="000000"/>
                <w:szCs w:val="22"/>
                <w:lang w:eastAsia="en-GB"/>
              </w:rPr>
            </w:pPr>
          </w:p>
        </w:tc>
      </w:tr>
      <w:tr w:rsidR="00760877" w:rsidRPr="006D09E0" w14:paraId="32D46B29" w14:textId="77777777" w:rsidTr="008A3C97">
        <w:trPr>
          <w:trHeight w:val="300"/>
        </w:trPr>
        <w:tc>
          <w:tcPr>
            <w:tcW w:w="1300" w:type="dxa"/>
            <w:tcBorders>
              <w:top w:val="nil"/>
              <w:left w:val="nil"/>
              <w:bottom w:val="nil"/>
              <w:right w:val="nil"/>
            </w:tcBorders>
            <w:shd w:val="clear" w:color="auto" w:fill="auto"/>
            <w:noWrap/>
            <w:vAlign w:val="bottom"/>
            <w:hideMark/>
          </w:tcPr>
          <w:p w14:paraId="02D2D06B" w14:textId="77777777" w:rsidR="00760877" w:rsidRPr="006D09E0" w:rsidRDefault="00760877" w:rsidP="00760877">
            <w:pPr>
              <w:jc w:val="center"/>
              <w:rPr>
                <w:rFonts w:ascii="Verdana" w:hAnsi="Verdana"/>
                <w:b/>
                <w:bCs/>
                <w:color w:val="000000"/>
                <w:szCs w:val="22"/>
                <w:lang w:eastAsia="en-GB"/>
              </w:rPr>
            </w:pPr>
            <w:r>
              <w:rPr>
                <w:rFonts w:ascii="Verdana" w:hAnsi="Verdana"/>
                <w:b/>
                <w:bCs/>
                <w:color w:val="000000"/>
                <w:szCs w:val="22"/>
                <w:lang w:eastAsia="en-GB"/>
              </w:rPr>
              <w:t>3</w:t>
            </w:r>
          </w:p>
        </w:tc>
        <w:tc>
          <w:tcPr>
            <w:tcW w:w="1467" w:type="dxa"/>
            <w:tcBorders>
              <w:top w:val="nil"/>
              <w:left w:val="single" w:sz="4" w:space="0" w:color="auto"/>
              <w:bottom w:val="single" w:sz="4" w:space="0" w:color="auto"/>
              <w:right w:val="single" w:sz="4" w:space="0" w:color="auto"/>
            </w:tcBorders>
            <w:shd w:val="clear" w:color="auto" w:fill="FFFFFF" w:themeFill="background1"/>
            <w:vAlign w:val="center"/>
          </w:tcPr>
          <w:p w14:paraId="6C9257F5" w14:textId="77777777" w:rsidR="00760877" w:rsidRPr="008D2ACF" w:rsidRDefault="00760877" w:rsidP="00760877">
            <w:pPr>
              <w:jc w:val="center"/>
              <w:rPr>
                <w:rFonts w:ascii="Verdana" w:hAnsi="Verdana"/>
                <w:bCs/>
                <w:color w:val="000000"/>
                <w:szCs w:val="22"/>
                <w:lang w:eastAsia="en-GB"/>
              </w:rPr>
            </w:pPr>
          </w:p>
        </w:tc>
        <w:tc>
          <w:tcPr>
            <w:tcW w:w="1467" w:type="dxa"/>
            <w:tcBorders>
              <w:top w:val="nil"/>
              <w:left w:val="nil"/>
              <w:bottom w:val="single" w:sz="4" w:space="0" w:color="auto"/>
              <w:right w:val="single" w:sz="4" w:space="0" w:color="auto"/>
            </w:tcBorders>
            <w:shd w:val="clear" w:color="auto" w:fill="FFFFFF" w:themeFill="background1"/>
            <w:vAlign w:val="center"/>
          </w:tcPr>
          <w:p w14:paraId="45454FF6" w14:textId="77777777" w:rsidR="00760877" w:rsidRPr="008D2ACF" w:rsidRDefault="00760877" w:rsidP="00760877">
            <w:pPr>
              <w:jc w:val="center"/>
              <w:rPr>
                <w:rFonts w:ascii="Verdana" w:hAnsi="Verdana"/>
                <w:bCs/>
                <w:color w:val="000000"/>
                <w:szCs w:val="22"/>
                <w:lang w:eastAsia="en-GB"/>
              </w:rPr>
            </w:pPr>
          </w:p>
        </w:tc>
        <w:tc>
          <w:tcPr>
            <w:tcW w:w="1472" w:type="dxa"/>
            <w:tcBorders>
              <w:top w:val="nil"/>
              <w:left w:val="nil"/>
              <w:bottom w:val="single" w:sz="4" w:space="0" w:color="auto"/>
              <w:right w:val="single" w:sz="4" w:space="0" w:color="auto"/>
            </w:tcBorders>
            <w:shd w:val="clear" w:color="auto" w:fill="FFFFFF" w:themeFill="background1"/>
            <w:vAlign w:val="center"/>
          </w:tcPr>
          <w:p w14:paraId="0F1967D0" w14:textId="77777777" w:rsidR="00760877" w:rsidRPr="008D2ACF" w:rsidRDefault="00760877" w:rsidP="00760877">
            <w:pPr>
              <w:jc w:val="center"/>
              <w:rPr>
                <w:rFonts w:ascii="Verdana" w:hAnsi="Verdana"/>
                <w:bCs/>
                <w:color w:val="000000"/>
                <w:szCs w:val="22"/>
                <w:lang w:eastAsia="en-GB"/>
              </w:rPr>
            </w:pPr>
          </w:p>
        </w:tc>
        <w:tc>
          <w:tcPr>
            <w:tcW w:w="1464" w:type="dxa"/>
            <w:tcBorders>
              <w:top w:val="nil"/>
              <w:left w:val="nil"/>
              <w:bottom w:val="single" w:sz="4" w:space="0" w:color="auto"/>
              <w:right w:val="single" w:sz="4" w:space="0" w:color="auto"/>
            </w:tcBorders>
            <w:shd w:val="clear" w:color="auto" w:fill="FFFFFF" w:themeFill="background1"/>
            <w:vAlign w:val="center"/>
          </w:tcPr>
          <w:p w14:paraId="5CB04910" w14:textId="77777777" w:rsidR="00760877" w:rsidRPr="008D2ACF" w:rsidRDefault="00760877" w:rsidP="00760877">
            <w:pPr>
              <w:jc w:val="center"/>
              <w:rPr>
                <w:rFonts w:ascii="Verdana" w:hAnsi="Verdana"/>
                <w:bCs/>
                <w:color w:val="000000"/>
                <w:szCs w:val="22"/>
                <w:lang w:eastAsia="en-GB"/>
              </w:rPr>
            </w:pPr>
          </w:p>
        </w:tc>
        <w:tc>
          <w:tcPr>
            <w:tcW w:w="222" w:type="dxa"/>
            <w:tcBorders>
              <w:top w:val="nil"/>
              <w:left w:val="nil"/>
              <w:bottom w:val="nil"/>
              <w:right w:val="nil"/>
            </w:tcBorders>
            <w:shd w:val="clear" w:color="auto" w:fill="FFFFFF" w:themeFill="background1"/>
            <w:noWrap/>
            <w:vAlign w:val="bottom"/>
          </w:tcPr>
          <w:p w14:paraId="71EFD4FC" w14:textId="77777777" w:rsidR="00760877" w:rsidRPr="006D09E0" w:rsidRDefault="00760877" w:rsidP="00760877">
            <w:pPr>
              <w:jc w:val="center"/>
              <w:rPr>
                <w:rFonts w:ascii="Verdana" w:hAnsi="Verdana"/>
                <w:b/>
                <w:bCs/>
                <w:color w:val="000000"/>
                <w:szCs w:val="22"/>
                <w:lang w:eastAsia="en-GB"/>
              </w:rPr>
            </w:pPr>
          </w:p>
        </w:tc>
        <w:tc>
          <w:tcPr>
            <w:tcW w:w="1363" w:type="dxa"/>
            <w:tcBorders>
              <w:top w:val="nil"/>
              <w:left w:val="single" w:sz="4" w:space="0" w:color="auto"/>
              <w:bottom w:val="single" w:sz="4" w:space="0" w:color="auto"/>
              <w:right w:val="single" w:sz="4" w:space="0" w:color="auto"/>
            </w:tcBorders>
            <w:shd w:val="clear" w:color="auto" w:fill="FFFFFF" w:themeFill="background1"/>
          </w:tcPr>
          <w:p w14:paraId="18CAB026" w14:textId="77777777" w:rsidR="00760877" w:rsidRPr="006D09E0" w:rsidRDefault="00760877" w:rsidP="00760877">
            <w:pPr>
              <w:jc w:val="center"/>
              <w:rPr>
                <w:rFonts w:ascii="Verdana" w:hAnsi="Verdana"/>
                <w:b/>
                <w:bCs/>
                <w:color w:val="000000"/>
                <w:szCs w:val="22"/>
                <w:lang w:eastAsia="en-GB"/>
              </w:rPr>
            </w:pPr>
          </w:p>
        </w:tc>
      </w:tr>
      <w:tr w:rsidR="00760877" w:rsidRPr="006D09E0" w14:paraId="358743AC" w14:textId="77777777" w:rsidTr="008A3C97">
        <w:trPr>
          <w:trHeight w:val="300"/>
        </w:trPr>
        <w:tc>
          <w:tcPr>
            <w:tcW w:w="1300" w:type="dxa"/>
            <w:tcBorders>
              <w:top w:val="nil"/>
              <w:left w:val="nil"/>
              <w:bottom w:val="nil"/>
              <w:right w:val="nil"/>
            </w:tcBorders>
            <w:shd w:val="clear" w:color="auto" w:fill="auto"/>
            <w:noWrap/>
            <w:vAlign w:val="bottom"/>
            <w:hideMark/>
          </w:tcPr>
          <w:p w14:paraId="1A1FD711" w14:textId="77777777" w:rsidR="00760877" w:rsidRPr="006D09E0" w:rsidRDefault="00760877" w:rsidP="00760877">
            <w:pPr>
              <w:jc w:val="center"/>
              <w:rPr>
                <w:rFonts w:ascii="Verdana" w:hAnsi="Verdana"/>
                <w:b/>
                <w:bCs/>
                <w:color w:val="000000"/>
                <w:szCs w:val="22"/>
                <w:lang w:eastAsia="en-GB"/>
              </w:rPr>
            </w:pPr>
            <w:r>
              <w:rPr>
                <w:rFonts w:ascii="Verdana" w:hAnsi="Verdana"/>
                <w:b/>
                <w:bCs/>
                <w:color w:val="000000"/>
                <w:szCs w:val="22"/>
                <w:lang w:eastAsia="en-GB"/>
              </w:rPr>
              <w:t>4</w:t>
            </w:r>
          </w:p>
        </w:tc>
        <w:tc>
          <w:tcPr>
            <w:tcW w:w="1467" w:type="dxa"/>
            <w:tcBorders>
              <w:top w:val="nil"/>
              <w:left w:val="single" w:sz="4" w:space="0" w:color="auto"/>
              <w:bottom w:val="single" w:sz="4" w:space="0" w:color="auto"/>
              <w:right w:val="single" w:sz="4" w:space="0" w:color="auto"/>
            </w:tcBorders>
            <w:shd w:val="clear" w:color="auto" w:fill="FFFFFF" w:themeFill="background1"/>
            <w:vAlign w:val="center"/>
          </w:tcPr>
          <w:p w14:paraId="528A727A" w14:textId="77777777" w:rsidR="00760877" w:rsidRPr="008D2ACF" w:rsidRDefault="00760877" w:rsidP="00760877">
            <w:pPr>
              <w:jc w:val="center"/>
              <w:rPr>
                <w:rFonts w:ascii="Verdana" w:hAnsi="Verdana"/>
                <w:bCs/>
                <w:color w:val="000000"/>
                <w:szCs w:val="22"/>
                <w:lang w:eastAsia="en-GB"/>
              </w:rPr>
            </w:pPr>
          </w:p>
        </w:tc>
        <w:tc>
          <w:tcPr>
            <w:tcW w:w="1467" w:type="dxa"/>
            <w:tcBorders>
              <w:top w:val="nil"/>
              <w:left w:val="nil"/>
              <w:bottom w:val="single" w:sz="4" w:space="0" w:color="auto"/>
              <w:right w:val="single" w:sz="4" w:space="0" w:color="auto"/>
            </w:tcBorders>
            <w:shd w:val="clear" w:color="auto" w:fill="FFFFFF" w:themeFill="background1"/>
            <w:vAlign w:val="center"/>
          </w:tcPr>
          <w:p w14:paraId="2456A137" w14:textId="77777777" w:rsidR="00760877" w:rsidRPr="008D2ACF" w:rsidRDefault="00760877" w:rsidP="00760877">
            <w:pPr>
              <w:jc w:val="center"/>
              <w:rPr>
                <w:rFonts w:ascii="Verdana" w:hAnsi="Verdana"/>
                <w:bCs/>
                <w:color w:val="000000"/>
                <w:szCs w:val="22"/>
                <w:lang w:eastAsia="en-GB"/>
              </w:rPr>
            </w:pPr>
          </w:p>
        </w:tc>
        <w:tc>
          <w:tcPr>
            <w:tcW w:w="1472" w:type="dxa"/>
            <w:tcBorders>
              <w:top w:val="nil"/>
              <w:left w:val="nil"/>
              <w:bottom w:val="single" w:sz="4" w:space="0" w:color="auto"/>
              <w:right w:val="single" w:sz="4" w:space="0" w:color="auto"/>
            </w:tcBorders>
            <w:shd w:val="clear" w:color="auto" w:fill="FFFFFF" w:themeFill="background1"/>
            <w:vAlign w:val="center"/>
          </w:tcPr>
          <w:p w14:paraId="2A738E3A" w14:textId="77777777" w:rsidR="00760877" w:rsidRPr="008D2ACF" w:rsidRDefault="00760877" w:rsidP="00760877">
            <w:pPr>
              <w:jc w:val="center"/>
              <w:rPr>
                <w:rFonts w:ascii="Verdana" w:hAnsi="Verdana"/>
                <w:bCs/>
                <w:color w:val="000000"/>
                <w:szCs w:val="22"/>
                <w:lang w:eastAsia="en-GB"/>
              </w:rPr>
            </w:pPr>
          </w:p>
        </w:tc>
        <w:tc>
          <w:tcPr>
            <w:tcW w:w="1464" w:type="dxa"/>
            <w:tcBorders>
              <w:top w:val="nil"/>
              <w:left w:val="nil"/>
              <w:bottom w:val="single" w:sz="4" w:space="0" w:color="auto"/>
              <w:right w:val="single" w:sz="4" w:space="0" w:color="auto"/>
            </w:tcBorders>
            <w:shd w:val="clear" w:color="auto" w:fill="FFFFFF" w:themeFill="background1"/>
            <w:vAlign w:val="center"/>
          </w:tcPr>
          <w:p w14:paraId="2E241958" w14:textId="77777777" w:rsidR="00760877" w:rsidRPr="008D2ACF" w:rsidRDefault="00760877" w:rsidP="00760877">
            <w:pPr>
              <w:jc w:val="center"/>
              <w:rPr>
                <w:rFonts w:ascii="Verdana" w:hAnsi="Verdana"/>
                <w:bCs/>
                <w:color w:val="000000"/>
                <w:szCs w:val="22"/>
                <w:lang w:eastAsia="en-GB"/>
              </w:rPr>
            </w:pPr>
          </w:p>
        </w:tc>
        <w:tc>
          <w:tcPr>
            <w:tcW w:w="222" w:type="dxa"/>
            <w:tcBorders>
              <w:top w:val="nil"/>
              <w:left w:val="nil"/>
              <w:bottom w:val="nil"/>
              <w:right w:val="nil"/>
            </w:tcBorders>
            <w:shd w:val="clear" w:color="auto" w:fill="FFFFFF" w:themeFill="background1"/>
            <w:noWrap/>
            <w:vAlign w:val="bottom"/>
          </w:tcPr>
          <w:p w14:paraId="39ED0961" w14:textId="77777777" w:rsidR="00760877" w:rsidRPr="006D09E0" w:rsidRDefault="00760877" w:rsidP="00760877">
            <w:pPr>
              <w:jc w:val="center"/>
              <w:rPr>
                <w:rFonts w:ascii="Verdana" w:hAnsi="Verdana"/>
                <w:b/>
                <w:bCs/>
                <w:color w:val="000000"/>
                <w:szCs w:val="22"/>
                <w:lang w:eastAsia="en-GB"/>
              </w:rPr>
            </w:pPr>
          </w:p>
        </w:tc>
        <w:tc>
          <w:tcPr>
            <w:tcW w:w="1363" w:type="dxa"/>
            <w:tcBorders>
              <w:top w:val="nil"/>
              <w:left w:val="single" w:sz="4" w:space="0" w:color="auto"/>
              <w:bottom w:val="single" w:sz="4" w:space="0" w:color="auto"/>
              <w:right w:val="single" w:sz="4" w:space="0" w:color="auto"/>
            </w:tcBorders>
            <w:shd w:val="clear" w:color="auto" w:fill="FFFFFF" w:themeFill="background1"/>
          </w:tcPr>
          <w:p w14:paraId="558DA1DB" w14:textId="77777777" w:rsidR="00760877" w:rsidRPr="006D09E0" w:rsidRDefault="00760877" w:rsidP="00760877">
            <w:pPr>
              <w:jc w:val="center"/>
              <w:rPr>
                <w:rFonts w:ascii="Verdana" w:hAnsi="Verdana"/>
                <w:b/>
                <w:bCs/>
                <w:color w:val="000000"/>
                <w:szCs w:val="22"/>
                <w:lang w:eastAsia="en-GB"/>
              </w:rPr>
            </w:pPr>
          </w:p>
        </w:tc>
      </w:tr>
      <w:tr w:rsidR="00760877" w:rsidRPr="006D09E0" w14:paraId="083DAEB7" w14:textId="77777777" w:rsidTr="008A3C97">
        <w:trPr>
          <w:trHeight w:val="300"/>
        </w:trPr>
        <w:tc>
          <w:tcPr>
            <w:tcW w:w="1300" w:type="dxa"/>
            <w:tcBorders>
              <w:top w:val="nil"/>
              <w:left w:val="nil"/>
              <w:bottom w:val="nil"/>
              <w:right w:val="nil"/>
            </w:tcBorders>
            <w:shd w:val="clear" w:color="auto" w:fill="auto"/>
            <w:noWrap/>
            <w:vAlign w:val="bottom"/>
            <w:hideMark/>
          </w:tcPr>
          <w:p w14:paraId="213BF3A7" w14:textId="77777777" w:rsidR="00760877" w:rsidRPr="006D09E0" w:rsidRDefault="00760877" w:rsidP="00760877">
            <w:pPr>
              <w:jc w:val="center"/>
              <w:rPr>
                <w:rFonts w:ascii="Verdana" w:hAnsi="Verdana"/>
                <w:b/>
                <w:bCs/>
                <w:color w:val="000000"/>
                <w:szCs w:val="22"/>
                <w:lang w:eastAsia="en-GB"/>
              </w:rPr>
            </w:pPr>
            <w:r>
              <w:rPr>
                <w:rFonts w:ascii="Verdana" w:hAnsi="Verdana"/>
                <w:b/>
                <w:bCs/>
                <w:color w:val="000000"/>
                <w:szCs w:val="22"/>
                <w:lang w:eastAsia="en-GB"/>
              </w:rPr>
              <w:t>5</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F232A" w14:textId="77777777" w:rsidR="00760877" w:rsidRPr="008D2ACF" w:rsidRDefault="00760877" w:rsidP="00760877">
            <w:pPr>
              <w:jc w:val="center"/>
              <w:rPr>
                <w:rFonts w:ascii="Verdana" w:hAnsi="Verdana"/>
                <w:bCs/>
                <w:color w:val="000000"/>
                <w:szCs w:val="22"/>
                <w:lang w:eastAsia="en-GB"/>
              </w:rPr>
            </w:pPr>
          </w:p>
        </w:tc>
        <w:tc>
          <w:tcPr>
            <w:tcW w:w="1467" w:type="dxa"/>
            <w:tcBorders>
              <w:top w:val="single" w:sz="4" w:space="0" w:color="auto"/>
              <w:left w:val="nil"/>
              <w:bottom w:val="single" w:sz="4" w:space="0" w:color="auto"/>
              <w:right w:val="single" w:sz="4" w:space="0" w:color="auto"/>
            </w:tcBorders>
            <w:shd w:val="clear" w:color="auto" w:fill="FFFFFF" w:themeFill="background1"/>
            <w:vAlign w:val="center"/>
          </w:tcPr>
          <w:p w14:paraId="3DF4BF66" w14:textId="77777777" w:rsidR="00760877" w:rsidRPr="008D2ACF" w:rsidRDefault="00760877" w:rsidP="00760877">
            <w:pPr>
              <w:jc w:val="center"/>
              <w:rPr>
                <w:rFonts w:ascii="Verdana" w:hAnsi="Verdana"/>
                <w:bCs/>
                <w:color w:val="000000"/>
                <w:szCs w:val="22"/>
                <w:lang w:eastAsia="en-GB"/>
              </w:rPr>
            </w:pPr>
          </w:p>
        </w:tc>
        <w:tc>
          <w:tcPr>
            <w:tcW w:w="1472" w:type="dxa"/>
            <w:tcBorders>
              <w:top w:val="single" w:sz="4" w:space="0" w:color="auto"/>
              <w:left w:val="nil"/>
              <w:bottom w:val="single" w:sz="4" w:space="0" w:color="auto"/>
              <w:right w:val="single" w:sz="4" w:space="0" w:color="auto"/>
            </w:tcBorders>
            <w:shd w:val="clear" w:color="auto" w:fill="FFFFFF" w:themeFill="background1"/>
            <w:vAlign w:val="center"/>
          </w:tcPr>
          <w:p w14:paraId="715F8E48" w14:textId="77777777" w:rsidR="00760877" w:rsidRPr="008D2ACF" w:rsidRDefault="00760877" w:rsidP="00760877">
            <w:pPr>
              <w:jc w:val="center"/>
              <w:rPr>
                <w:rFonts w:ascii="Verdana" w:hAnsi="Verdana"/>
                <w:bCs/>
                <w:color w:val="000000"/>
                <w:szCs w:val="22"/>
                <w:lang w:eastAsia="en-GB"/>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79E26560" w14:textId="77777777" w:rsidR="00760877" w:rsidRPr="008D2ACF" w:rsidRDefault="00760877" w:rsidP="00760877">
            <w:pPr>
              <w:jc w:val="center"/>
              <w:rPr>
                <w:rFonts w:ascii="Verdana" w:hAnsi="Verdana"/>
                <w:bCs/>
                <w:color w:val="000000"/>
                <w:szCs w:val="22"/>
                <w:lang w:eastAsia="en-GB"/>
              </w:rPr>
            </w:pPr>
          </w:p>
        </w:tc>
        <w:tc>
          <w:tcPr>
            <w:tcW w:w="222" w:type="dxa"/>
            <w:tcBorders>
              <w:top w:val="nil"/>
              <w:left w:val="nil"/>
              <w:bottom w:val="nil"/>
              <w:right w:val="nil"/>
            </w:tcBorders>
            <w:shd w:val="clear" w:color="auto" w:fill="FFFFFF" w:themeFill="background1"/>
            <w:noWrap/>
            <w:vAlign w:val="bottom"/>
          </w:tcPr>
          <w:p w14:paraId="7D581293" w14:textId="77777777" w:rsidR="00760877" w:rsidRPr="006D09E0" w:rsidRDefault="00760877" w:rsidP="00760877">
            <w:pPr>
              <w:jc w:val="center"/>
              <w:rPr>
                <w:rFonts w:ascii="Verdana" w:hAnsi="Verdana"/>
                <w:b/>
                <w:bCs/>
                <w:color w:val="000000"/>
                <w:szCs w:val="22"/>
                <w:lang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6CD979A" w14:textId="77777777" w:rsidR="00760877" w:rsidRPr="006D09E0" w:rsidRDefault="00760877" w:rsidP="00760877">
            <w:pPr>
              <w:jc w:val="center"/>
              <w:rPr>
                <w:rFonts w:ascii="Verdana" w:hAnsi="Verdana"/>
                <w:b/>
                <w:bCs/>
                <w:color w:val="000000"/>
                <w:szCs w:val="22"/>
                <w:lang w:eastAsia="en-GB"/>
              </w:rPr>
            </w:pPr>
          </w:p>
        </w:tc>
      </w:tr>
      <w:tr w:rsidR="00760877" w:rsidRPr="006D09E0" w14:paraId="44EB2110" w14:textId="77777777" w:rsidTr="008A3C97">
        <w:trPr>
          <w:trHeight w:val="53"/>
        </w:trPr>
        <w:tc>
          <w:tcPr>
            <w:tcW w:w="1300" w:type="dxa"/>
            <w:tcBorders>
              <w:top w:val="nil"/>
              <w:left w:val="nil"/>
              <w:bottom w:val="nil"/>
            </w:tcBorders>
            <w:shd w:val="clear" w:color="auto" w:fill="auto"/>
            <w:noWrap/>
            <w:vAlign w:val="bottom"/>
            <w:hideMark/>
          </w:tcPr>
          <w:p w14:paraId="416445B2" w14:textId="77777777" w:rsidR="00760877" w:rsidRPr="006D09E0" w:rsidRDefault="00760877" w:rsidP="00760877">
            <w:pPr>
              <w:jc w:val="center"/>
              <w:rPr>
                <w:rFonts w:ascii="Verdana" w:hAnsi="Verdana"/>
                <w:b/>
                <w:bCs/>
                <w:color w:val="000000"/>
                <w:szCs w:val="22"/>
                <w:lang w:eastAsia="en-GB"/>
              </w:rPr>
            </w:pPr>
          </w:p>
        </w:tc>
        <w:tc>
          <w:tcPr>
            <w:tcW w:w="1467" w:type="dxa"/>
            <w:tcBorders>
              <w:top w:val="single" w:sz="4" w:space="0" w:color="auto"/>
              <w:bottom w:val="single" w:sz="4" w:space="0" w:color="auto"/>
            </w:tcBorders>
            <w:shd w:val="clear" w:color="auto" w:fill="FFFFFF" w:themeFill="background1"/>
            <w:vAlign w:val="center"/>
          </w:tcPr>
          <w:p w14:paraId="3ED2A5BD" w14:textId="77777777" w:rsidR="00760877" w:rsidRPr="006D09E0" w:rsidRDefault="00760877" w:rsidP="00760877">
            <w:pPr>
              <w:jc w:val="center"/>
              <w:rPr>
                <w:rFonts w:ascii="Verdana" w:hAnsi="Verdana"/>
                <w:b/>
                <w:bCs/>
                <w:color w:val="000000"/>
                <w:szCs w:val="22"/>
                <w:lang w:eastAsia="en-GB"/>
              </w:rPr>
            </w:pPr>
          </w:p>
        </w:tc>
        <w:tc>
          <w:tcPr>
            <w:tcW w:w="1467" w:type="dxa"/>
            <w:tcBorders>
              <w:top w:val="single" w:sz="4" w:space="0" w:color="auto"/>
              <w:bottom w:val="single" w:sz="4" w:space="0" w:color="auto"/>
            </w:tcBorders>
            <w:shd w:val="clear" w:color="auto" w:fill="FFFFFF" w:themeFill="background1"/>
            <w:vAlign w:val="center"/>
          </w:tcPr>
          <w:p w14:paraId="322D28F7" w14:textId="77777777" w:rsidR="00760877" w:rsidRPr="006D09E0" w:rsidRDefault="00760877" w:rsidP="00760877">
            <w:pPr>
              <w:jc w:val="center"/>
              <w:rPr>
                <w:rFonts w:ascii="Verdana" w:hAnsi="Verdana"/>
                <w:b/>
                <w:bCs/>
                <w:color w:val="000000"/>
                <w:szCs w:val="22"/>
                <w:lang w:eastAsia="en-GB"/>
              </w:rPr>
            </w:pPr>
          </w:p>
        </w:tc>
        <w:tc>
          <w:tcPr>
            <w:tcW w:w="1472" w:type="dxa"/>
            <w:tcBorders>
              <w:top w:val="single" w:sz="4" w:space="0" w:color="auto"/>
              <w:bottom w:val="single" w:sz="4" w:space="0" w:color="auto"/>
            </w:tcBorders>
            <w:shd w:val="clear" w:color="auto" w:fill="FFFFFF" w:themeFill="background1"/>
            <w:vAlign w:val="center"/>
          </w:tcPr>
          <w:p w14:paraId="09895563" w14:textId="77777777" w:rsidR="00760877" w:rsidRPr="006D09E0" w:rsidRDefault="00760877" w:rsidP="00760877">
            <w:pPr>
              <w:jc w:val="center"/>
              <w:rPr>
                <w:rFonts w:ascii="Verdana" w:hAnsi="Verdana"/>
                <w:b/>
                <w:bCs/>
                <w:color w:val="000000"/>
                <w:szCs w:val="22"/>
                <w:lang w:eastAsia="en-GB"/>
              </w:rPr>
            </w:pPr>
          </w:p>
        </w:tc>
        <w:tc>
          <w:tcPr>
            <w:tcW w:w="1464" w:type="dxa"/>
            <w:tcBorders>
              <w:top w:val="single" w:sz="4" w:space="0" w:color="auto"/>
              <w:bottom w:val="single" w:sz="4" w:space="0" w:color="auto"/>
            </w:tcBorders>
            <w:shd w:val="clear" w:color="auto" w:fill="FFFFFF" w:themeFill="background1"/>
            <w:vAlign w:val="center"/>
          </w:tcPr>
          <w:p w14:paraId="749D7FA4" w14:textId="77777777" w:rsidR="00760877" w:rsidRPr="006D09E0" w:rsidRDefault="00760877" w:rsidP="00760877">
            <w:pPr>
              <w:jc w:val="center"/>
              <w:rPr>
                <w:rFonts w:ascii="Verdana" w:hAnsi="Verdana"/>
                <w:b/>
                <w:bCs/>
                <w:color w:val="000000"/>
                <w:szCs w:val="22"/>
                <w:lang w:eastAsia="en-GB"/>
              </w:rPr>
            </w:pPr>
          </w:p>
        </w:tc>
        <w:tc>
          <w:tcPr>
            <w:tcW w:w="222" w:type="dxa"/>
            <w:tcBorders>
              <w:top w:val="nil"/>
              <w:left w:val="nil"/>
              <w:bottom w:val="nil"/>
            </w:tcBorders>
            <w:shd w:val="clear" w:color="auto" w:fill="FFFFFF" w:themeFill="background1"/>
            <w:noWrap/>
            <w:vAlign w:val="bottom"/>
          </w:tcPr>
          <w:p w14:paraId="5936BE1F" w14:textId="77777777" w:rsidR="00760877" w:rsidRPr="006D09E0" w:rsidRDefault="00760877" w:rsidP="00760877">
            <w:pPr>
              <w:jc w:val="center"/>
              <w:rPr>
                <w:rFonts w:ascii="Verdana" w:hAnsi="Verdana"/>
                <w:b/>
                <w:bCs/>
                <w:color w:val="000000"/>
                <w:szCs w:val="22"/>
                <w:lang w:eastAsia="en-GB"/>
              </w:rPr>
            </w:pPr>
          </w:p>
        </w:tc>
        <w:tc>
          <w:tcPr>
            <w:tcW w:w="1363" w:type="dxa"/>
            <w:tcBorders>
              <w:top w:val="single" w:sz="4" w:space="0" w:color="auto"/>
              <w:bottom w:val="single" w:sz="4" w:space="0" w:color="auto"/>
            </w:tcBorders>
            <w:shd w:val="clear" w:color="auto" w:fill="FFFFFF" w:themeFill="background1"/>
            <w:vAlign w:val="center"/>
          </w:tcPr>
          <w:p w14:paraId="24289BBB" w14:textId="77777777" w:rsidR="00760877" w:rsidRPr="006D09E0" w:rsidRDefault="00760877" w:rsidP="00760877">
            <w:pPr>
              <w:jc w:val="center"/>
              <w:rPr>
                <w:rFonts w:ascii="Verdana" w:hAnsi="Verdana"/>
                <w:b/>
                <w:bCs/>
                <w:color w:val="000000"/>
                <w:szCs w:val="22"/>
                <w:lang w:eastAsia="en-GB"/>
              </w:rPr>
            </w:pPr>
          </w:p>
        </w:tc>
      </w:tr>
      <w:tr w:rsidR="00760877" w:rsidRPr="006D09E0" w14:paraId="07D7F9F3" w14:textId="77777777" w:rsidTr="008A3C97">
        <w:trPr>
          <w:trHeight w:val="300"/>
        </w:trPr>
        <w:tc>
          <w:tcPr>
            <w:tcW w:w="1300" w:type="dxa"/>
            <w:tcBorders>
              <w:top w:val="nil"/>
              <w:left w:val="nil"/>
              <w:bottom w:val="nil"/>
              <w:right w:val="nil"/>
            </w:tcBorders>
            <w:shd w:val="clear" w:color="auto" w:fill="auto"/>
            <w:noWrap/>
            <w:vAlign w:val="bottom"/>
            <w:hideMark/>
          </w:tcPr>
          <w:p w14:paraId="0B602B46" w14:textId="77777777" w:rsidR="00760877" w:rsidRPr="006D09E0" w:rsidRDefault="00760877" w:rsidP="00760877">
            <w:pPr>
              <w:rPr>
                <w:rFonts w:ascii="Verdana" w:hAnsi="Verdana"/>
                <w:b/>
                <w:bCs/>
                <w:color w:val="000000"/>
                <w:szCs w:val="22"/>
                <w:lang w:eastAsia="en-GB"/>
              </w:rPr>
            </w:pPr>
            <w:r w:rsidRPr="006D09E0">
              <w:rPr>
                <w:rFonts w:ascii="Verdana" w:hAnsi="Verdana"/>
                <w:b/>
                <w:bCs/>
                <w:color w:val="000000"/>
                <w:szCs w:val="22"/>
                <w:lang w:eastAsia="en-GB"/>
              </w:rPr>
              <w:t>All years</w:t>
            </w: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8C259" w14:textId="77777777" w:rsidR="00760877" w:rsidRPr="006D09E0" w:rsidRDefault="00760877" w:rsidP="00760877">
            <w:pPr>
              <w:jc w:val="center"/>
              <w:rPr>
                <w:rFonts w:ascii="Verdana" w:hAnsi="Verdana"/>
                <w:b/>
                <w:bCs/>
                <w:color w:val="000000"/>
                <w:szCs w:val="22"/>
                <w:lang w:eastAsia="en-GB"/>
              </w:rPr>
            </w:pPr>
          </w:p>
        </w:tc>
        <w:tc>
          <w:tcPr>
            <w:tcW w:w="1467" w:type="dxa"/>
            <w:tcBorders>
              <w:top w:val="single" w:sz="4" w:space="0" w:color="auto"/>
              <w:left w:val="nil"/>
              <w:bottom w:val="single" w:sz="4" w:space="0" w:color="auto"/>
              <w:right w:val="single" w:sz="4" w:space="0" w:color="auto"/>
            </w:tcBorders>
            <w:shd w:val="clear" w:color="auto" w:fill="FFFFFF" w:themeFill="background1"/>
            <w:vAlign w:val="center"/>
          </w:tcPr>
          <w:p w14:paraId="64F4805C" w14:textId="77777777" w:rsidR="00760877" w:rsidRPr="006D09E0" w:rsidRDefault="00760877" w:rsidP="00760877">
            <w:pPr>
              <w:jc w:val="center"/>
              <w:rPr>
                <w:rFonts w:ascii="Verdana" w:hAnsi="Verdana"/>
                <w:b/>
                <w:bCs/>
                <w:color w:val="000000"/>
                <w:szCs w:val="22"/>
                <w:lang w:eastAsia="en-GB"/>
              </w:rPr>
            </w:pPr>
          </w:p>
        </w:tc>
        <w:tc>
          <w:tcPr>
            <w:tcW w:w="1472" w:type="dxa"/>
            <w:tcBorders>
              <w:top w:val="single" w:sz="4" w:space="0" w:color="auto"/>
              <w:left w:val="nil"/>
              <w:bottom w:val="single" w:sz="4" w:space="0" w:color="auto"/>
              <w:right w:val="single" w:sz="4" w:space="0" w:color="auto"/>
            </w:tcBorders>
            <w:shd w:val="clear" w:color="auto" w:fill="FFFFFF" w:themeFill="background1"/>
            <w:vAlign w:val="center"/>
          </w:tcPr>
          <w:p w14:paraId="12ED33D3" w14:textId="77777777" w:rsidR="00760877" w:rsidRPr="006D09E0" w:rsidRDefault="00760877" w:rsidP="00760877">
            <w:pPr>
              <w:jc w:val="center"/>
              <w:rPr>
                <w:rFonts w:ascii="Verdana" w:hAnsi="Verdana"/>
                <w:b/>
                <w:bCs/>
                <w:color w:val="000000"/>
                <w:szCs w:val="22"/>
                <w:lang w:eastAsia="en-GB"/>
              </w:rPr>
            </w:pPr>
          </w:p>
        </w:tc>
        <w:tc>
          <w:tcPr>
            <w:tcW w:w="1464" w:type="dxa"/>
            <w:tcBorders>
              <w:top w:val="single" w:sz="4" w:space="0" w:color="auto"/>
              <w:left w:val="nil"/>
              <w:bottom w:val="single" w:sz="4" w:space="0" w:color="auto"/>
              <w:right w:val="single" w:sz="4" w:space="0" w:color="auto"/>
            </w:tcBorders>
            <w:shd w:val="clear" w:color="auto" w:fill="FFFFFF" w:themeFill="background1"/>
            <w:vAlign w:val="center"/>
          </w:tcPr>
          <w:p w14:paraId="30E9D66F" w14:textId="77777777" w:rsidR="00760877" w:rsidRPr="006D09E0" w:rsidRDefault="00760877" w:rsidP="00760877">
            <w:pPr>
              <w:jc w:val="center"/>
              <w:rPr>
                <w:rFonts w:ascii="Verdana" w:hAnsi="Verdana"/>
                <w:b/>
                <w:bCs/>
                <w:color w:val="000000"/>
                <w:szCs w:val="22"/>
                <w:lang w:eastAsia="en-GB"/>
              </w:rPr>
            </w:pPr>
          </w:p>
        </w:tc>
        <w:tc>
          <w:tcPr>
            <w:tcW w:w="222" w:type="dxa"/>
            <w:tcBorders>
              <w:top w:val="nil"/>
              <w:left w:val="nil"/>
              <w:bottom w:val="nil"/>
              <w:right w:val="nil"/>
            </w:tcBorders>
            <w:shd w:val="clear" w:color="auto" w:fill="FFFFFF" w:themeFill="background1"/>
            <w:noWrap/>
            <w:vAlign w:val="bottom"/>
          </w:tcPr>
          <w:p w14:paraId="15D41D52" w14:textId="77777777" w:rsidR="00760877" w:rsidRPr="006D09E0" w:rsidRDefault="00760877" w:rsidP="00760877">
            <w:pPr>
              <w:jc w:val="center"/>
              <w:rPr>
                <w:rFonts w:ascii="Verdana" w:hAnsi="Verdana"/>
                <w:b/>
                <w:bCs/>
                <w:color w:val="000000"/>
                <w:szCs w:val="22"/>
                <w:lang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80B9" w14:textId="77777777" w:rsidR="00760877" w:rsidRPr="006D09E0" w:rsidRDefault="00760877" w:rsidP="00760877">
            <w:pPr>
              <w:jc w:val="center"/>
              <w:rPr>
                <w:rFonts w:ascii="Verdana" w:hAnsi="Verdana"/>
                <w:b/>
                <w:bCs/>
                <w:color w:val="000000"/>
                <w:szCs w:val="22"/>
                <w:lang w:eastAsia="en-GB"/>
              </w:rPr>
            </w:pPr>
          </w:p>
        </w:tc>
      </w:tr>
    </w:tbl>
    <w:p w14:paraId="35246B75" w14:textId="77777777" w:rsidR="002A41C7" w:rsidRDefault="002A41C7" w:rsidP="00760877">
      <w:pPr>
        <w:spacing w:after="120"/>
        <w:rPr>
          <w:rFonts w:ascii="Verdana" w:hAnsi="Verdana" w:cs="Arial"/>
          <w:b/>
          <w:szCs w:val="22"/>
          <w:u w:val="single"/>
        </w:rPr>
      </w:pPr>
    </w:p>
    <w:p w14:paraId="285ACBED" w14:textId="320BE0F7" w:rsidR="00760877" w:rsidRPr="006D09E0" w:rsidRDefault="00760877" w:rsidP="00760877">
      <w:pPr>
        <w:spacing w:after="120"/>
        <w:rPr>
          <w:rFonts w:ascii="Verdana" w:hAnsi="Verdana" w:cs="Arial"/>
          <w:b/>
          <w:szCs w:val="22"/>
          <w:u w:val="single"/>
        </w:rPr>
      </w:pPr>
      <w:r w:rsidRPr="006D09E0">
        <w:rPr>
          <w:rFonts w:ascii="Verdana" w:hAnsi="Verdana" w:cs="Arial"/>
          <w:b/>
          <w:szCs w:val="22"/>
          <w:u w:val="single"/>
        </w:rPr>
        <w:t xml:space="preserve">Costs: </w:t>
      </w:r>
    </w:p>
    <w:p w14:paraId="3E4E06E8" w14:textId="001A3DA0" w:rsidR="00760877" w:rsidRPr="00D92560" w:rsidRDefault="0079085C" w:rsidP="00760877">
      <w:pPr>
        <w:pStyle w:val="CommentText"/>
        <w:jc w:val="both"/>
        <w:rPr>
          <w:rFonts w:ascii="Verdana" w:hAnsi="Verdana" w:cs="Arial"/>
          <w:b/>
          <w:bCs/>
          <w:sz w:val="22"/>
          <w:szCs w:val="22"/>
        </w:rPr>
      </w:pPr>
      <w:r>
        <w:rPr>
          <w:rFonts w:ascii="Verdana" w:hAnsi="Verdana" w:cs="Arial"/>
          <w:sz w:val="22"/>
          <w:szCs w:val="22"/>
        </w:rPr>
        <w:t xml:space="preserve">To </w:t>
      </w:r>
      <w:r w:rsidR="00515467">
        <w:rPr>
          <w:rFonts w:ascii="Verdana" w:hAnsi="Verdana" w:cs="Arial"/>
          <w:sz w:val="22"/>
          <w:szCs w:val="22"/>
        </w:rPr>
        <w:t xml:space="preserve">fully staff the FLS to deliver the </w:t>
      </w:r>
      <w:r w:rsidR="0094105A">
        <w:rPr>
          <w:rFonts w:ascii="Verdana" w:hAnsi="Verdana" w:cs="Arial"/>
          <w:sz w:val="22"/>
          <w:szCs w:val="22"/>
        </w:rPr>
        <w:t>service to national standards</w:t>
      </w:r>
      <w:r w:rsidR="00C837DF">
        <w:rPr>
          <w:rFonts w:ascii="Verdana" w:hAnsi="Verdana" w:cs="Arial"/>
          <w:sz w:val="22"/>
          <w:szCs w:val="22"/>
        </w:rPr>
        <w:t>, s</w:t>
      </w:r>
      <w:r w:rsidR="00760877" w:rsidRPr="006D09E0">
        <w:rPr>
          <w:rFonts w:ascii="Verdana" w:hAnsi="Verdana" w:cs="Arial"/>
          <w:sz w:val="22"/>
          <w:szCs w:val="22"/>
        </w:rPr>
        <w:t>taffing costs</w:t>
      </w:r>
      <w:r w:rsidR="00760877" w:rsidRPr="006D09E0">
        <w:rPr>
          <w:rFonts w:ascii="Verdana" w:hAnsi="Verdana" w:cs="Arial"/>
          <w:b/>
          <w:sz w:val="22"/>
          <w:szCs w:val="22"/>
        </w:rPr>
        <w:t xml:space="preserve"> </w:t>
      </w:r>
      <w:r w:rsidR="00760877" w:rsidRPr="006D09E0">
        <w:rPr>
          <w:rFonts w:ascii="Verdana" w:hAnsi="Verdana" w:cs="Arial"/>
          <w:sz w:val="22"/>
          <w:szCs w:val="22"/>
        </w:rPr>
        <w:t xml:space="preserve">in terms of wholetime equivalents, </w:t>
      </w:r>
      <w:r w:rsidR="00760877">
        <w:rPr>
          <w:rFonts w:ascii="Verdana" w:hAnsi="Verdana" w:cs="Arial"/>
          <w:sz w:val="22"/>
          <w:szCs w:val="22"/>
        </w:rPr>
        <w:t>including</w:t>
      </w:r>
      <w:r w:rsidR="00760877" w:rsidRPr="006D09E0">
        <w:rPr>
          <w:rFonts w:ascii="Verdana" w:hAnsi="Verdana" w:cs="Arial"/>
          <w:sz w:val="22"/>
          <w:szCs w:val="22"/>
        </w:rPr>
        <w:t xml:space="preserve"> on-costs and</w:t>
      </w:r>
      <w:r w:rsidR="00144A48">
        <w:rPr>
          <w:rFonts w:ascii="Verdana" w:hAnsi="Verdana" w:cs="Arial"/>
          <w:sz w:val="22"/>
          <w:szCs w:val="22"/>
        </w:rPr>
        <w:t xml:space="preserve"> </w:t>
      </w:r>
      <w:r w:rsidR="00760877" w:rsidRPr="006D09E0">
        <w:rPr>
          <w:rFonts w:ascii="Verdana" w:hAnsi="Verdana" w:cs="Arial"/>
          <w:sz w:val="22"/>
          <w:szCs w:val="22"/>
        </w:rPr>
        <w:t>overheads</w:t>
      </w:r>
      <w:r w:rsidR="00933869">
        <w:rPr>
          <w:rFonts w:ascii="Verdana" w:hAnsi="Verdana" w:cs="Arial"/>
          <w:sz w:val="22"/>
          <w:szCs w:val="22"/>
        </w:rPr>
        <w:t xml:space="preserve"> </w:t>
      </w:r>
      <w:r w:rsidR="00933869" w:rsidRPr="00BC19C5">
        <w:rPr>
          <w:rFonts w:ascii="Verdana" w:hAnsi="Verdana" w:cs="Arial"/>
          <w:b/>
          <w:bCs/>
          <w:sz w:val="22"/>
          <w:szCs w:val="22"/>
        </w:rPr>
        <w:t>[</w:t>
      </w:r>
      <w:r w:rsidR="00933869">
        <w:rPr>
          <w:rFonts w:ascii="Verdana" w:hAnsi="Verdana" w:cs="Arial"/>
          <w:b/>
          <w:bCs/>
          <w:sz w:val="22"/>
          <w:szCs w:val="22"/>
        </w:rPr>
        <w:t>show overhead percentage here</w:t>
      </w:r>
      <w:r w:rsidR="00933869" w:rsidRPr="00BC19C5">
        <w:rPr>
          <w:rFonts w:ascii="Verdana" w:hAnsi="Verdana" w:cs="Arial"/>
          <w:b/>
          <w:bCs/>
          <w:sz w:val="22"/>
          <w:szCs w:val="22"/>
        </w:rPr>
        <w:t>]</w:t>
      </w:r>
      <w:r w:rsidR="00760877">
        <w:rPr>
          <w:rFonts w:ascii="Verdana" w:hAnsi="Verdana" w:cs="Arial"/>
          <w:sz w:val="22"/>
          <w:szCs w:val="22"/>
        </w:rPr>
        <w:t xml:space="preserve">, are shown </w:t>
      </w:r>
      <w:r w:rsidR="00760877" w:rsidRPr="006D09E0">
        <w:rPr>
          <w:rFonts w:ascii="Verdana" w:hAnsi="Verdana" w:cs="Arial"/>
          <w:sz w:val="22"/>
          <w:szCs w:val="22"/>
        </w:rPr>
        <w:t xml:space="preserve">in the table below: </w:t>
      </w:r>
      <w:r w:rsidR="00D92560" w:rsidRPr="00D92560">
        <w:rPr>
          <w:rFonts w:ascii="Verdana" w:hAnsi="Verdana" w:cs="Arial"/>
          <w:b/>
          <w:bCs/>
          <w:sz w:val="22"/>
          <w:szCs w:val="22"/>
        </w:rPr>
        <w:t xml:space="preserve">[the ROS can help you </w:t>
      </w:r>
      <w:r w:rsidR="00C26B6D">
        <w:rPr>
          <w:rFonts w:ascii="Verdana" w:hAnsi="Verdana" w:cs="Arial"/>
          <w:b/>
          <w:bCs/>
          <w:sz w:val="22"/>
          <w:szCs w:val="22"/>
        </w:rPr>
        <w:t xml:space="preserve">understand what resources </w:t>
      </w:r>
      <w:r w:rsidR="00144A48">
        <w:rPr>
          <w:rFonts w:ascii="Verdana" w:hAnsi="Verdana" w:cs="Arial"/>
          <w:b/>
          <w:bCs/>
          <w:sz w:val="22"/>
          <w:szCs w:val="22"/>
        </w:rPr>
        <w:t>may be required, if necessary</w:t>
      </w:r>
      <w:r w:rsidR="00D92560" w:rsidRPr="00D92560">
        <w:rPr>
          <w:rFonts w:ascii="Verdana" w:hAnsi="Verdana" w:cs="Arial"/>
          <w:b/>
          <w:bCs/>
          <w:sz w:val="22"/>
          <w:szCs w:val="22"/>
        </w:rPr>
        <w:t>]</w:t>
      </w:r>
    </w:p>
    <w:p w14:paraId="6287C463" w14:textId="77777777" w:rsidR="00D92560" w:rsidRPr="006D09E0" w:rsidRDefault="00D92560" w:rsidP="00760877">
      <w:pPr>
        <w:pStyle w:val="CommentText"/>
        <w:jc w:val="both"/>
        <w:rPr>
          <w:rFonts w:ascii="Verdana" w:hAnsi="Verdana" w:cs="Arial"/>
          <w:sz w:val="22"/>
          <w:szCs w:val="22"/>
        </w:rPr>
      </w:pPr>
    </w:p>
    <w:p w14:paraId="0EB8D976" w14:textId="77777777" w:rsidR="00760877" w:rsidRPr="006D09E0" w:rsidRDefault="00760877" w:rsidP="00760877">
      <w:pPr>
        <w:spacing w:after="120"/>
        <w:jc w:val="both"/>
        <w:rPr>
          <w:rFonts w:ascii="Verdana" w:hAnsi="Verdana" w:cs="Arial"/>
          <w:b/>
          <w:szCs w:val="22"/>
        </w:rPr>
      </w:pPr>
      <w:r>
        <w:rPr>
          <w:noProof/>
        </w:rPr>
        <w:drawing>
          <wp:inline distT="0" distB="0" distL="0" distR="0" wp14:anchorId="4C5D0A60" wp14:editId="2863D3DA">
            <wp:extent cx="5731510" cy="2464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464435"/>
                    </a:xfrm>
                    <a:prstGeom prst="rect">
                      <a:avLst/>
                    </a:prstGeom>
                  </pic:spPr>
                </pic:pic>
              </a:graphicData>
            </a:graphic>
          </wp:inline>
        </w:drawing>
      </w:r>
    </w:p>
    <w:p w14:paraId="5E9C28B2" w14:textId="77777777" w:rsidR="00760877" w:rsidRPr="006D09E0" w:rsidRDefault="00760877" w:rsidP="00760877">
      <w:pPr>
        <w:spacing w:after="120"/>
        <w:jc w:val="both"/>
        <w:rPr>
          <w:rFonts w:ascii="Verdana" w:hAnsi="Verdana" w:cs="Arial"/>
          <w:b/>
          <w:szCs w:val="22"/>
          <w:u w:val="single"/>
        </w:rPr>
      </w:pPr>
      <w:r w:rsidRPr="006D09E0">
        <w:rPr>
          <w:rFonts w:ascii="Verdana" w:hAnsi="Verdana" w:cs="Arial"/>
          <w:b/>
          <w:szCs w:val="22"/>
          <w:u w:val="single"/>
        </w:rPr>
        <w:t>Additional Investment:</w:t>
      </w:r>
    </w:p>
    <w:p w14:paraId="27D22E46" w14:textId="77777777" w:rsidR="00760877" w:rsidRPr="006D09E0" w:rsidRDefault="00760877" w:rsidP="00760877">
      <w:pPr>
        <w:spacing w:after="120"/>
        <w:jc w:val="both"/>
        <w:rPr>
          <w:rFonts w:ascii="Verdana" w:hAnsi="Verdana" w:cs="Arial"/>
          <w:szCs w:val="22"/>
        </w:rPr>
      </w:pPr>
      <w:r w:rsidRPr="006D09E0">
        <w:rPr>
          <w:rFonts w:ascii="Verdana" w:hAnsi="Verdana" w:cs="Arial"/>
          <w:szCs w:val="22"/>
        </w:rPr>
        <w:t>The additional investment required to implement the service will be:</w:t>
      </w:r>
    </w:p>
    <w:p w14:paraId="2F542218" w14:textId="6A5E77EA" w:rsidR="00760877" w:rsidRDefault="00760877" w:rsidP="009F3A14">
      <w:pPr>
        <w:pStyle w:val="CommentText"/>
        <w:jc w:val="both"/>
        <w:rPr>
          <w:rFonts w:ascii="Verdana" w:hAnsi="Verdana" w:cs="Arial"/>
          <w:b/>
          <w:sz w:val="22"/>
          <w:szCs w:val="22"/>
        </w:rPr>
      </w:pPr>
      <w:r w:rsidRPr="006D09E0">
        <w:rPr>
          <w:rFonts w:ascii="Verdana" w:hAnsi="Verdana" w:cs="Arial"/>
          <w:b/>
          <w:sz w:val="22"/>
          <w:szCs w:val="22"/>
        </w:rPr>
        <w:t>[Additional investment comprises the costs of the service that you plan to establish</w:t>
      </w:r>
      <w:r>
        <w:rPr>
          <w:rFonts w:ascii="Verdana" w:hAnsi="Verdana" w:cs="Arial"/>
          <w:b/>
          <w:sz w:val="22"/>
          <w:szCs w:val="22"/>
        </w:rPr>
        <w:t>,</w:t>
      </w:r>
      <w:r w:rsidRPr="006D09E0">
        <w:rPr>
          <w:rFonts w:ascii="Verdana" w:hAnsi="Verdana" w:cs="Arial"/>
          <w:b/>
          <w:sz w:val="22"/>
          <w:szCs w:val="22"/>
        </w:rPr>
        <w:t xml:space="preserve"> less any elements of the service that are already in place. </w:t>
      </w:r>
      <w:r>
        <w:rPr>
          <w:rFonts w:ascii="Verdana" w:hAnsi="Verdana" w:cs="Arial"/>
          <w:b/>
          <w:sz w:val="22"/>
          <w:szCs w:val="22"/>
        </w:rPr>
        <w:t xml:space="preserve"> </w:t>
      </w:r>
      <w:r w:rsidRPr="006D09E0">
        <w:rPr>
          <w:rFonts w:ascii="Verdana" w:hAnsi="Verdana" w:cs="Arial"/>
          <w:b/>
          <w:sz w:val="22"/>
          <w:szCs w:val="22"/>
        </w:rPr>
        <w:t xml:space="preserve">For example, if you already have a specialist nurse who will now work in the new service and this post will be incorporated into the new service then this cost is effectively zero. </w:t>
      </w:r>
      <w:r w:rsidR="00F53C5D">
        <w:rPr>
          <w:rFonts w:ascii="Verdana" w:hAnsi="Verdana" w:cs="Arial"/>
          <w:b/>
          <w:sz w:val="22"/>
          <w:szCs w:val="22"/>
        </w:rPr>
        <w:t>If you need to request funding for the full staff complement you do not need the table above, as it will be the same as the table below</w:t>
      </w:r>
      <w:r w:rsidR="00433AE0">
        <w:rPr>
          <w:rFonts w:ascii="Verdana" w:hAnsi="Verdana" w:cs="Arial"/>
          <w:b/>
          <w:sz w:val="22"/>
          <w:szCs w:val="22"/>
        </w:rPr>
        <w:t>.</w:t>
      </w:r>
      <w:r>
        <w:rPr>
          <w:rFonts w:ascii="Verdana" w:hAnsi="Verdana" w:cs="Arial"/>
          <w:b/>
          <w:sz w:val="22"/>
          <w:szCs w:val="22"/>
        </w:rPr>
        <w:t xml:space="preserve"> </w:t>
      </w:r>
      <w:r w:rsidRPr="006D09E0">
        <w:rPr>
          <w:rFonts w:ascii="Verdana" w:hAnsi="Verdana" w:cs="Arial"/>
          <w:b/>
          <w:sz w:val="22"/>
          <w:szCs w:val="22"/>
        </w:rPr>
        <w:t>Please clearly state what you are asking for, including any training highlighted</w:t>
      </w:r>
      <w:r w:rsidR="00F53C5D">
        <w:rPr>
          <w:rFonts w:ascii="Verdana" w:hAnsi="Verdana" w:cs="Arial"/>
          <w:b/>
          <w:sz w:val="22"/>
          <w:szCs w:val="22"/>
        </w:rPr>
        <w:t>,</w:t>
      </w:r>
      <w:r>
        <w:rPr>
          <w:rFonts w:ascii="Verdana" w:hAnsi="Verdana" w:cs="Arial"/>
          <w:b/>
          <w:sz w:val="22"/>
          <w:szCs w:val="22"/>
        </w:rPr>
        <w:t xml:space="preserve"> be aware of the impact on existing services when establishing any changes in job roles</w:t>
      </w:r>
      <w:r w:rsidR="007F7074">
        <w:rPr>
          <w:rFonts w:ascii="Verdana" w:hAnsi="Verdana" w:cs="Arial"/>
          <w:b/>
          <w:sz w:val="22"/>
          <w:szCs w:val="22"/>
        </w:rPr>
        <w:t xml:space="preserve">. </w:t>
      </w:r>
      <w:r>
        <w:rPr>
          <w:rFonts w:ascii="Verdana" w:hAnsi="Verdana" w:cs="Arial"/>
          <w:b/>
          <w:sz w:val="22"/>
          <w:szCs w:val="22"/>
        </w:rPr>
        <w:t>Some examples are shown below, please note not all may be appropriate for your case</w:t>
      </w:r>
      <w:r w:rsidR="009F3A14">
        <w:rPr>
          <w:rFonts w:ascii="Verdana" w:hAnsi="Verdana" w:cs="Arial"/>
          <w:b/>
          <w:sz w:val="22"/>
          <w:szCs w:val="22"/>
        </w:rPr>
        <w:t>]</w:t>
      </w:r>
      <w:r>
        <w:rPr>
          <w:rFonts w:ascii="Verdana" w:hAnsi="Verdana" w:cs="Arial"/>
          <w:b/>
          <w:sz w:val="22"/>
          <w:szCs w:val="22"/>
        </w:rPr>
        <w:t xml:space="preserve"> </w:t>
      </w:r>
    </w:p>
    <w:p w14:paraId="49ACC178" w14:textId="77777777" w:rsidR="00760877" w:rsidRDefault="00760877" w:rsidP="00760877">
      <w:pPr>
        <w:pStyle w:val="CommentText"/>
        <w:rPr>
          <w:rFonts w:ascii="Verdana" w:hAnsi="Verdana" w:cs="Arial"/>
          <w:b/>
          <w:sz w:val="22"/>
          <w:szCs w:val="22"/>
        </w:rPr>
      </w:pPr>
    </w:p>
    <w:p w14:paraId="0386EEC4" w14:textId="77777777" w:rsidR="00760877" w:rsidRPr="0067672F" w:rsidRDefault="00760877" w:rsidP="00760877">
      <w:pPr>
        <w:pStyle w:val="CommentText"/>
        <w:rPr>
          <w:rFonts w:ascii="Verdana" w:hAnsi="Verdana" w:cs="Arial"/>
          <w:b/>
          <w:sz w:val="22"/>
          <w:szCs w:val="22"/>
          <w:u w:val="single"/>
        </w:rPr>
      </w:pPr>
      <w:r w:rsidRPr="0067672F">
        <w:rPr>
          <w:rFonts w:ascii="Verdana" w:hAnsi="Verdana" w:cs="Arial"/>
          <w:b/>
          <w:sz w:val="22"/>
          <w:szCs w:val="22"/>
          <w:u w:val="single"/>
        </w:rPr>
        <w:t xml:space="preserve">Additional Resources required: </w:t>
      </w:r>
    </w:p>
    <w:p w14:paraId="6A828455" w14:textId="77777777" w:rsidR="00760877" w:rsidRDefault="00760877" w:rsidP="00760877">
      <w:pPr>
        <w:pStyle w:val="CommentText"/>
        <w:rPr>
          <w:rFonts w:ascii="Verdana" w:hAnsi="Verdana" w:cs="Arial"/>
          <w:b/>
          <w:sz w:val="22"/>
          <w:szCs w:val="22"/>
        </w:rPr>
      </w:pPr>
      <w:r>
        <w:rPr>
          <w:noProof/>
        </w:rPr>
        <w:drawing>
          <wp:inline distT="0" distB="0" distL="0" distR="0" wp14:anchorId="18C316E8" wp14:editId="0F528B6A">
            <wp:extent cx="5731510" cy="24644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2464435"/>
                    </a:xfrm>
                    <a:prstGeom prst="rect">
                      <a:avLst/>
                    </a:prstGeom>
                  </pic:spPr>
                </pic:pic>
              </a:graphicData>
            </a:graphic>
          </wp:inline>
        </w:drawing>
      </w:r>
    </w:p>
    <w:p w14:paraId="75C676A5" w14:textId="77777777" w:rsidR="00F17EF6" w:rsidRDefault="00F17EF6" w:rsidP="00760877">
      <w:pPr>
        <w:spacing w:after="120"/>
        <w:jc w:val="both"/>
        <w:rPr>
          <w:rFonts w:ascii="Verdana" w:hAnsi="Verdana" w:cs="Arial"/>
          <w:b/>
          <w:szCs w:val="22"/>
          <w:u w:val="single"/>
        </w:rPr>
      </w:pPr>
    </w:p>
    <w:p w14:paraId="391855D5" w14:textId="7249015E" w:rsidR="00760877" w:rsidRPr="00FA422C" w:rsidRDefault="00760877" w:rsidP="00760877">
      <w:pPr>
        <w:spacing w:after="120"/>
        <w:jc w:val="both"/>
        <w:rPr>
          <w:rFonts w:ascii="Verdana" w:hAnsi="Verdana" w:cs="Arial"/>
          <w:b/>
          <w:szCs w:val="22"/>
          <w:highlight w:val="yellow"/>
          <w:u w:val="single"/>
        </w:rPr>
      </w:pPr>
      <w:r w:rsidRPr="00FA422C">
        <w:rPr>
          <w:rFonts w:ascii="Verdana" w:hAnsi="Verdana" w:cs="Arial"/>
          <w:b/>
          <w:szCs w:val="22"/>
          <w:u w:val="single"/>
        </w:rPr>
        <w:t>Training costs associated with set up and running of FLS:</w:t>
      </w:r>
    </w:p>
    <w:p w14:paraId="75A1AB3C" w14:textId="77777777" w:rsidR="00760877" w:rsidRPr="006D09E0" w:rsidRDefault="00760877" w:rsidP="00760877">
      <w:pPr>
        <w:spacing w:after="120"/>
        <w:jc w:val="both"/>
        <w:rPr>
          <w:rFonts w:ascii="Verdana" w:hAnsi="Verdana" w:cs="Arial"/>
          <w:b/>
          <w:szCs w:val="22"/>
        </w:rPr>
      </w:pPr>
      <w:r w:rsidRPr="006D09E0">
        <w:rPr>
          <w:rFonts w:ascii="Verdana" w:hAnsi="Verdana" w:cs="Arial"/>
          <w:b/>
          <w:szCs w:val="22"/>
        </w:rPr>
        <w:t>[Establish the training requirements here, things to consider are:</w:t>
      </w:r>
    </w:p>
    <w:p w14:paraId="56331B5A" w14:textId="77777777" w:rsidR="00760877" w:rsidRDefault="00F81852" w:rsidP="00760877">
      <w:pPr>
        <w:spacing w:after="120"/>
        <w:jc w:val="both"/>
        <w:rPr>
          <w:rFonts w:ascii="Verdana" w:hAnsi="Verdana" w:cs="Arial"/>
          <w:b/>
          <w:szCs w:val="22"/>
        </w:rPr>
      </w:pPr>
      <w:hyperlink r:id="rId29" w:history="1">
        <w:r w:rsidR="00760877">
          <w:rPr>
            <w:rStyle w:val="Hyperlink"/>
          </w:rPr>
          <w:t>https://theros.org.uk/healthcare-professionals/courses-and-cpd/</w:t>
        </w:r>
      </w:hyperlink>
      <w:r w:rsidR="00760877" w:rsidRPr="006D09E0">
        <w:rPr>
          <w:rFonts w:ascii="Verdana" w:hAnsi="Verdana" w:cs="Arial"/>
          <w:b/>
          <w:szCs w:val="22"/>
        </w:rPr>
        <w:t xml:space="preserve"> </w:t>
      </w:r>
    </w:p>
    <w:p w14:paraId="01AD1D99" w14:textId="77777777" w:rsidR="00760877" w:rsidRPr="00A70592" w:rsidRDefault="00760877" w:rsidP="00B04F96">
      <w:pPr>
        <w:pStyle w:val="ListParagraph"/>
        <w:numPr>
          <w:ilvl w:val="0"/>
          <w:numId w:val="8"/>
        </w:numPr>
        <w:spacing w:after="120"/>
        <w:jc w:val="both"/>
        <w:rPr>
          <w:rFonts w:ascii="Verdana" w:hAnsi="Verdana"/>
          <w:b/>
        </w:rPr>
      </w:pPr>
      <w:r w:rsidRPr="00A70592">
        <w:rPr>
          <w:rFonts w:ascii="Verdana" w:hAnsi="Verdana"/>
          <w:b/>
        </w:rPr>
        <w:t xml:space="preserve">Fracture Prevention Practitioner Training </w:t>
      </w:r>
    </w:p>
    <w:p w14:paraId="69551826" w14:textId="77777777" w:rsidR="00760877" w:rsidRDefault="00760877" w:rsidP="00B04F96">
      <w:pPr>
        <w:pStyle w:val="ListParagraph"/>
        <w:numPr>
          <w:ilvl w:val="0"/>
          <w:numId w:val="8"/>
        </w:numPr>
        <w:spacing w:after="120"/>
        <w:jc w:val="both"/>
        <w:rPr>
          <w:rFonts w:ascii="Verdana" w:hAnsi="Verdana"/>
          <w:b/>
        </w:rPr>
      </w:pPr>
      <w:r w:rsidRPr="00A70592">
        <w:rPr>
          <w:rFonts w:ascii="Verdana" w:hAnsi="Verdana"/>
          <w:b/>
        </w:rPr>
        <w:t>National Training Scheme for Bone Densitometry</w:t>
      </w:r>
    </w:p>
    <w:p w14:paraId="008C5209" w14:textId="77777777" w:rsidR="00760877" w:rsidRPr="0067672F" w:rsidRDefault="00760877" w:rsidP="00B04F96">
      <w:pPr>
        <w:pStyle w:val="ListParagraph"/>
        <w:numPr>
          <w:ilvl w:val="0"/>
          <w:numId w:val="8"/>
        </w:numPr>
        <w:spacing w:after="120"/>
        <w:jc w:val="both"/>
        <w:rPr>
          <w:rFonts w:ascii="Verdana" w:hAnsi="Verdana"/>
          <w:b/>
        </w:rPr>
      </w:pPr>
      <w:r>
        <w:rPr>
          <w:rFonts w:ascii="Verdana" w:hAnsi="Verdana"/>
          <w:b/>
        </w:rPr>
        <w:t>Bone Densitometry Foundation Course</w:t>
      </w:r>
      <w:r w:rsidRPr="0067672F">
        <w:rPr>
          <w:rFonts w:ascii="Verdana" w:hAnsi="Verdana"/>
          <w:b/>
        </w:rPr>
        <w:t>]</w:t>
      </w:r>
    </w:p>
    <w:p w14:paraId="2233E0CA" w14:textId="77777777" w:rsidR="00760877" w:rsidRDefault="00760877" w:rsidP="00760877">
      <w:pPr>
        <w:pStyle w:val="CommentText"/>
        <w:rPr>
          <w:rFonts w:ascii="Verdana" w:hAnsi="Verdana" w:cs="Arial"/>
          <w:b/>
          <w:sz w:val="22"/>
          <w:szCs w:val="22"/>
        </w:rPr>
      </w:pPr>
    </w:p>
    <w:tbl>
      <w:tblPr>
        <w:tblW w:w="6160" w:type="dxa"/>
        <w:tblLook w:val="04A0" w:firstRow="1" w:lastRow="0" w:firstColumn="1" w:lastColumn="0" w:noHBand="0" w:noVBand="1"/>
      </w:tblPr>
      <w:tblGrid>
        <w:gridCol w:w="2127"/>
        <w:gridCol w:w="1984"/>
        <w:gridCol w:w="2049"/>
      </w:tblGrid>
      <w:tr w:rsidR="00760877" w:rsidRPr="0067672F" w14:paraId="1ED8233B" w14:textId="77777777" w:rsidTr="008A3C97">
        <w:trPr>
          <w:trHeight w:val="433"/>
        </w:trPr>
        <w:tc>
          <w:tcPr>
            <w:tcW w:w="2127" w:type="dxa"/>
            <w:tcBorders>
              <w:bottom w:val="single" w:sz="4" w:space="0" w:color="auto"/>
              <w:right w:val="single" w:sz="4" w:space="0" w:color="auto"/>
            </w:tcBorders>
            <w:shd w:val="clear" w:color="auto" w:fill="auto"/>
            <w:noWrap/>
            <w:vAlign w:val="bottom"/>
            <w:hideMark/>
          </w:tcPr>
          <w:p w14:paraId="3B435DBB" w14:textId="77777777" w:rsidR="00760877" w:rsidRPr="0067672F" w:rsidRDefault="00760877" w:rsidP="00760877">
            <w:pPr>
              <w:rPr>
                <w:rFonts w:ascii="Verdana" w:hAnsi="Verdana"/>
                <w:color w:val="000000"/>
                <w:szCs w:val="22"/>
                <w:lang w:eastAsia="en-GB"/>
              </w:rPr>
            </w:pPr>
            <w:r w:rsidRPr="0067672F">
              <w:rPr>
                <w:rFonts w:ascii="Verdana" w:hAnsi="Verdana"/>
                <w:color w:val="000000"/>
                <w:szCs w:val="22"/>
                <w:lang w:eastAsia="en-GB"/>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26FA4B1"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Training</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300DDCB0"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Costs</w:t>
            </w:r>
          </w:p>
        </w:tc>
      </w:tr>
      <w:tr w:rsidR="00760877" w:rsidRPr="0067672F" w14:paraId="29019C9E" w14:textId="77777777" w:rsidTr="008A3C97">
        <w:trPr>
          <w:trHeight w:val="300"/>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14:paraId="64CC595C"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E8D10D7" w14:textId="77777777" w:rsidR="00760877" w:rsidRPr="0067672F" w:rsidRDefault="00760877" w:rsidP="00760877">
            <w:pPr>
              <w:jc w:val="center"/>
              <w:rPr>
                <w:rFonts w:ascii="Verdana" w:hAnsi="Verdana"/>
                <w:color w:val="000000"/>
                <w:szCs w:val="22"/>
                <w:lang w:eastAsia="en-GB"/>
              </w:rPr>
            </w:pPr>
          </w:p>
        </w:tc>
        <w:tc>
          <w:tcPr>
            <w:tcW w:w="2049" w:type="dxa"/>
            <w:tcBorders>
              <w:top w:val="nil"/>
              <w:left w:val="nil"/>
              <w:bottom w:val="single" w:sz="4" w:space="0" w:color="auto"/>
              <w:right w:val="single" w:sz="4" w:space="0" w:color="auto"/>
            </w:tcBorders>
            <w:shd w:val="clear" w:color="auto" w:fill="auto"/>
            <w:noWrap/>
            <w:vAlign w:val="bottom"/>
            <w:hideMark/>
          </w:tcPr>
          <w:p w14:paraId="54CBC998"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32B2E974" w14:textId="77777777" w:rsidTr="008A3C97">
        <w:trPr>
          <w:trHeight w:val="300"/>
        </w:trPr>
        <w:tc>
          <w:tcPr>
            <w:tcW w:w="2127" w:type="dxa"/>
            <w:tcBorders>
              <w:top w:val="nil"/>
              <w:left w:val="single" w:sz="4" w:space="0" w:color="auto"/>
              <w:bottom w:val="single" w:sz="4" w:space="0" w:color="auto"/>
              <w:right w:val="nil"/>
            </w:tcBorders>
            <w:shd w:val="clear" w:color="auto" w:fill="auto"/>
            <w:noWrap/>
            <w:vAlign w:val="bottom"/>
            <w:hideMark/>
          </w:tcPr>
          <w:p w14:paraId="3DE22F6B"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2</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941E36E" w14:textId="77777777" w:rsidR="00760877" w:rsidRPr="0067672F" w:rsidRDefault="00760877" w:rsidP="00760877">
            <w:pPr>
              <w:jc w:val="center"/>
              <w:rPr>
                <w:rFonts w:ascii="Verdana" w:hAnsi="Verdana"/>
                <w:color w:val="000000"/>
                <w:szCs w:val="22"/>
                <w:lang w:eastAsia="en-GB"/>
              </w:rPr>
            </w:pPr>
          </w:p>
        </w:tc>
        <w:tc>
          <w:tcPr>
            <w:tcW w:w="2049" w:type="dxa"/>
            <w:tcBorders>
              <w:top w:val="nil"/>
              <w:left w:val="nil"/>
              <w:bottom w:val="single" w:sz="4" w:space="0" w:color="auto"/>
              <w:right w:val="single" w:sz="4" w:space="0" w:color="auto"/>
            </w:tcBorders>
            <w:shd w:val="clear" w:color="auto" w:fill="auto"/>
            <w:noWrap/>
            <w:vAlign w:val="bottom"/>
            <w:hideMark/>
          </w:tcPr>
          <w:p w14:paraId="5FBEB858"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2AAEC155" w14:textId="77777777" w:rsidTr="008A3C97">
        <w:trPr>
          <w:trHeight w:val="300"/>
        </w:trPr>
        <w:tc>
          <w:tcPr>
            <w:tcW w:w="2127" w:type="dxa"/>
            <w:tcBorders>
              <w:top w:val="nil"/>
              <w:left w:val="single" w:sz="4" w:space="0" w:color="auto"/>
              <w:bottom w:val="single" w:sz="4" w:space="0" w:color="auto"/>
              <w:right w:val="nil"/>
            </w:tcBorders>
            <w:shd w:val="clear" w:color="auto" w:fill="auto"/>
            <w:noWrap/>
            <w:vAlign w:val="bottom"/>
            <w:hideMark/>
          </w:tcPr>
          <w:p w14:paraId="14B2C6AF"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3</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97CDC40" w14:textId="77777777" w:rsidR="00760877" w:rsidRPr="0067672F" w:rsidRDefault="00760877" w:rsidP="00760877">
            <w:pPr>
              <w:jc w:val="center"/>
              <w:rPr>
                <w:rFonts w:ascii="Verdana" w:hAnsi="Verdana"/>
                <w:color w:val="000000"/>
                <w:szCs w:val="22"/>
                <w:lang w:eastAsia="en-GB"/>
              </w:rPr>
            </w:pPr>
          </w:p>
        </w:tc>
        <w:tc>
          <w:tcPr>
            <w:tcW w:w="2049" w:type="dxa"/>
            <w:tcBorders>
              <w:top w:val="nil"/>
              <w:left w:val="nil"/>
              <w:bottom w:val="single" w:sz="4" w:space="0" w:color="auto"/>
              <w:right w:val="single" w:sz="4" w:space="0" w:color="auto"/>
            </w:tcBorders>
            <w:shd w:val="clear" w:color="auto" w:fill="auto"/>
            <w:noWrap/>
            <w:vAlign w:val="bottom"/>
            <w:hideMark/>
          </w:tcPr>
          <w:p w14:paraId="361A5154"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060BFEFE" w14:textId="77777777" w:rsidTr="008A3C97">
        <w:trPr>
          <w:trHeight w:val="300"/>
        </w:trPr>
        <w:tc>
          <w:tcPr>
            <w:tcW w:w="2127" w:type="dxa"/>
            <w:tcBorders>
              <w:top w:val="nil"/>
              <w:left w:val="single" w:sz="4" w:space="0" w:color="auto"/>
              <w:bottom w:val="single" w:sz="4" w:space="0" w:color="auto"/>
              <w:right w:val="nil"/>
            </w:tcBorders>
            <w:shd w:val="clear" w:color="auto" w:fill="auto"/>
            <w:noWrap/>
            <w:vAlign w:val="bottom"/>
            <w:hideMark/>
          </w:tcPr>
          <w:p w14:paraId="0D3BAE1A"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4</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592D537" w14:textId="77777777" w:rsidR="00760877" w:rsidRPr="0067672F" w:rsidRDefault="00760877" w:rsidP="00760877">
            <w:pPr>
              <w:jc w:val="center"/>
              <w:rPr>
                <w:rFonts w:ascii="Verdana" w:hAnsi="Verdana"/>
                <w:color w:val="000000"/>
                <w:szCs w:val="22"/>
                <w:lang w:eastAsia="en-GB"/>
              </w:rPr>
            </w:pPr>
          </w:p>
        </w:tc>
        <w:tc>
          <w:tcPr>
            <w:tcW w:w="2049" w:type="dxa"/>
            <w:tcBorders>
              <w:top w:val="nil"/>
              <w:left w:val="nil"/>
              <w:bottom w:val="single" w:sz="4" w:space="0" w:color="auto"/>
              <w:right w:val="single" w:sz="4" w:space="0" w:color="auto"/>
            </w:tcBorders>
            <w:shd w:val="clear" w:color="auto" w:fill="auto"/>
            <w:noWrap/>
            <w:vAlign w:val="bottom"/>
            <w:hideMark/>
          </w:tcPr>
          <w:p w14:paraId="2D0A7A8B"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32B40A45" w14:textId="77777777" w:rsidTr="008A3C97">
        <w:trPr>
          <w:trHeight w:val="300"/>
        </w:trPr>
        <w:tc>
          <w:tcPr>
            <w:tcW w:w="2127" w:type="dxa"/>
            <w:tcBorders>
              <w:top w:val="nil"/>
              <w:left w:val="single" w:sz="4" w:space="0" w:color="auto"/>
              <w:bottom w:val="single" w:sz="4" w:space="0" w:color="auto"/>
              <w:right w:val="nil"/>
            </w:tcBorders>
            <w:shd w:val="clear" w:color="auto" w:fill="auto"/>
            <w:noWrap/>
            <w:vAlign w:val="bottom"/>
            <w:hideMark/>
          </w:tcPr>
          <w:p w14:paraId="1541F73F"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5</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EB6DC5E" w14:textId="77777777" w:rsidR="00760877" w:rsidRPr="0067672F" w:rsidRDefault="00760877" w:rsidP="00760877">
            <w:pPr>
              <w:jc w:val="center"/>
              <w:rPr>
                <w:rFonts w:ascii="Verdana" w:hAnsi="Verdana"/>
                <w:color w:val="000000"/>
                <w:szCs w:val="22"/>
                <w:lang w:eastAsia="en-GB"/>
              </w:rPr>
            </w:pPr>
          </w:p>
        </w:tc>
        <w:tc>
          <w:tcPr>
            <w:tcW w:w="2049" w:type="dxa"/>
            <w:tcBorders>
              <w:top w:val="nil"/>
              <w:left w:val="nil"/>
              <w:bottom w:val="single" w:sz="4" w:space="0" w:color="auto"/>
              <w:right w:val="single" w:sz="4" w:space="0" w:color="auto"/>
            </w:tcBorders>
            <w:shd w:val="clear" w:color="auto" w:fill="auto"/>
            <w:noWrap/>
            <w:vAlign w:val="bottom"/>
            <w:hideMark/>
          </w:tcPr>
          <w:p w14:paraId="6830C9A1"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bl>
    <w:p w14:paraId="3FFAB84E" w14:textId="77777777" w:rsidR="00760877" w:rsidRDefault="00760877" w:rsidP="00760877">
      <w:pPr>
        <w:pStyle w:val="CommentText"/>
        <w:rPr>
          <w:rFonts w:ascii="Verdana" w:hAnsi="Verdana" w:cs="Arial"/>
          <w:b/>
          <w:sz w:val="22"/>
          <w:szCs w:val="22"/>
          <w:u w:val="single"/>
        </w:rPr>
      </w:pPr>
    </w:p>
    <w:p w14:paraId="26EB2E1D" w14:textId="45F7F4BB" w:rsidR="00760877" w:rsidRDefault="00E82813" w:rsidP="00FE7602">
      <w:pPr>
        <w:spacing w:after="120"/>
        <w:jc w:val="both"/>
        <w:rPr>
          <w:rFonts w:ascii="Verdana" w:hAnsi="Verdana" w:cs="Arial"/>
          <w:b/>
          <w:szCs w:val="22"/>
          <w:u w:val="single"/>
        </w:rPr>
      </w:pPr>
      <w:r>
        <w:rPr>
          <w:rFonts w:ascii="Verdana" w:hAnsi="Verdana" w:cs="Arial"/>
          <w:szCs w:val="22"/>
        </w:rPr>
        <w:t xml:space="preserve">An </w:t>
      </w:r>
      <w:r w:rsidR="00760877" w:rsidRPr="006D09E0">
        <w:rPr>
          <w:rFonts w:ascii="Verdana" w:hAnsi="Verdana" w:cs="Arial"/>
          <w:szCs w:val="22"/>
        </w:rPr>
        <w:t xml:space="preserve">estimation of the </w:t>
      </w:r>
      <w:r w:rsidR="00760877" w:rsidRPr="00CE70B2">
        <w:rPr>
          <w:rFonts w:ascii="Verdana" w:hAnsi="Verdana" w:cs="Arial"/>
          <w:szCs w:val="22"/>
          <w:u w:val="single"/>
        </w:rPr>
        <w:t>additional</w:t>
      </w:r>
      <w:r w:rsidR="00760877">
        <w:rPr>
          <w:rFonts w:ascii="Verdana" w:hAnsi="Verdana" w:cs="Arial"/>
          <w:szCs w:val="22"/>
        </w:rPr>
        <w:t xml:space="preserve"> </w:t>
      </w:r>
      <w:r w:rsidR="00760877" w:rsidRPr="006D09E0">
        <w:rPr>
          <w:rFonts w:ascii="Verdana" w:hAnsi="Verdana" w:cs="Arial"/>
          <w:szCs w:val="22"/>
        </w:rPr>
        <w:t>number patients requiring treatme</w:t>
      </w:r>
      <w:r w:rsidR="00760877">
        <w:rPr>
          <w:rFonts w:ascii="Verdana" w:hAnsi="Verdana" w:cs="Arial"/>
          <w:szCs w:val="22"/>
        </w:rPr>
        <w:t>nt</w:t>
      </w:r>
      <w:r w:rsidR="007E7C87">
        <w:rPr>
          <w:rFonts w:ascii="Verdana" w:hAnsi="Verdana" w:cs="Arial"/>
          <w:szCs w:val="22"/>
        </w:rPr>
        <w:t xml:space="preserve"> from primary care </w:t>
      </w:r>
      <w:r w:rsidR="00760877">
        <w:rPr>
          <w:rFonts w:ascii="Verdana" w:hAnsi="Verdana" w:cs="Arial"/>
          <w:szCs w:val="22"/>
        </w:rPr>
        <w:t>and D</w:t>
      </w:r>
      <w:r w:rsidR="00760877" w:rsidRPr="006D09E0">
        <w:rPr>
          <w:rFonts w:ascii="Verdana" w:hAnsi="Verdana" w:cs="Arial"/>
          <w:szCs w:val="22"/>
        </w:rPr>
        <w:t>XA scans for this patient population</w:t>
      </w:r>
      <w:r w:rsidR="00760877">
        <w:rPr>
          <w:rFonts w:ascii="Verdana" w:hAnsi="Verdana" w:cs="Arial"/>
          <w:szCs w:val="22"/>
        </w:rPr>
        <w:t>, compared with standard care,</w:t>
      </w:r>
      <w:r w:rsidR="00760877" w:rsidRPr="006D09E0">
        <w:rPr>
          <w:rFonts w:ascii="Verdana" w:hAnsi="Verdana" w:cs="Arial"/>
          <w:szCs w:val="22"/>
        </w:rPr>
        <w:t xml:space="preserve"> </w:t>
      </w:r>
      <w:r w:rsidR="006F598F">
        <w:rPr>
          <w:rFonts w:ascii="Verdana" w:hAnsi="Verdana" w:cs="Arial"/>
          <w:szCs w:val="22"/>
        </w:rPr>
        <w:t>are shown in the tables below</w:t>
      </w:r>
      <w:r w:rsidR="00760877">
        <w:rPr>
          <w:rFonts w:ascii="Verdana" w:hAnsi="Verdana" w:cs="Arial"/>
          <w:szCs w:val="22"/>
        </w:rPr>
        <w:t>:</w:t>
      </w:r>
      <w:r w:rsidR="00760877" w:rsidRPr="006D09E0">
        <w:rPr>
          <w:rFonts w:ascii="Verdana" w:hAnsi="Verdana" w:cs="Arial"/>
          <w:szCs w:val="22"/>
        </w:rPr>
        <w:t xml:space="preserve"> </w:t>
      </w:r>
      <w:r w:rsidR="00760877">
        <w:rPr>
          <w:rFonts w:ascii="Verdana" w:hAnsi="Verdana" w:cs="Arial"/>
          <w:b/>
          <w:szCs w:val="22"/>
        </w:rPr>
        <w:t>[</w:t>
      </w:r>
      <w:r w:rsidR="00F45326">
        <w:rPr>
          <w:rFonts w:ascii="Verdana" w:hAnsi="Verdana" w:cs="Arial"/>
          <w:b/>
          <w:szCs w:val="22"/>
        </w:rPr>
        <w:t xml:space="preserve">the ROS can help you with </w:t>
      </w:r>
      <w:r w:rsidR="0074739F">
        <w:rPr>
          <w:rFonts w:ascii="Verdana" w:hAnsi="Verdana" w:cs="Arial"/>
          <w:b/>
          <w:szCs w:val="22"/>
        </w:rPr>
        <w:t xml:space="preserve">some of </w:t>
      </w:r>
      <w:r w:rsidR="00F45326">
        <w:rPr>
          <w:rFonts w:ascii="Verdana" w:hAnsi="Verdana" w:cs="Arial"/>
          <w:b/>
          <w:szCs w:val="22"/>
        </w:rPr>
        <w:t>th</w:t>
      </w:r>
      <w:r w:rsidR="001C73E0">
        <w:rPr>
          <w:rFonts w:ascii="Verdana" w:hAnsi="Verdana" w:cs="Arial"/>
          <w:b/>
          <w:szCs w:val="22"/>
        </w:rPr>
        <w:t>e data for the following tables</w:t>
      </w:r>
      <w:r w:rsidR="0074739F">
        <w:rPr>
          <w:rFonts w:ascii="Verdana" w:hAnsi="Verdana" w:cs="Arial"/>
          <w:b/>
          <w:szCs w:val="22"/>
        </w:rPr>
        <w:t xml:space="preserve"> – you may need to determine your costs locally</w:t>
      </w:r>
      <w:r w:rsidR="00B60E8A">
        <w:rPr>
          <w:rFonts w:ascii="Verdana" w:hAnsi="Verdana" w:cs="Arial"/>
          <w:b/>
          <w:szCs w:val="22"/>
        </w:rPr>
        <w:t>]</w:t>
      </w:r>
    </w:p>
    <w:p w14:paraId="2754CE00" w14:textId="2187A5BB" w:rsidR="00760877" w:rsidRPr="0067672F" w:rsidRDefault="00760877" w:rsidP="00760877">
      <w:pPr>
        <w:pStyle w:val="CommentText"/>
        <w:rPr>
          <w:rFonts w:ascii="Verdana" w:hAnsi="Verdana" w:cs="Arial"/>
          <w:b/>
          <w:sz w:val="22"/>
          <w:szCs w:val="22"/>
          <w:u w:val="single"/>
        </w:rPr>
      </w:pPr>
      <w:r w:rsidRPr="0067672F">
        <w:rPr>
          <w:rFonts w:ascii="Verdana" w:hAnsi="Verdana" w:cs="Arial"/>
          <w:b/>
          <w:sz w:val="22"/>
          <w:szCs w:val="22"/>
          <w:u w:val="single"/>
        </w:rPr>
        <w:t xml:space="preserve">Additional Primary Care </w:t>
      </w:r>
      <w:r w:rsidR="002A41C7" w:rsidRPr="0067672F">
        <w:rPr>
          <w:rFonts w:ascii="Verdana" w:hAnsi="Verdana" w:cs="Arial"/>
          <w:b/>
          <w:sz w:val="22"/>
          <w:szCs w:val="22"/>
          <w:u w:val="single"/>
        </w:rPr>
        <w:t>Prescribing</w:t>
      </w:r>
      <w:r w:rsidRPr="0067672F">
        <w:rPr>
          <w:rFonts w:ascii="Verdana" w:hAnsi="Verdana" w:cs="Arial"/>
          <w:b/>
          <w:sz w:val="22"/>
          <w:szCs w:val="22"/>
          <w:u w:val="single"/>
        </w:rPr>
        <w:t xml:space="preserve"> Costs: </w:t>
      </w:r>
    </w:p>
    <w:p w14:paraId="7B6FAA11" w14:textId="77777777" w:rsidR="00760877" w:rsidRDefault="00760877" w:rsidP="00760877">
      <w:pPr>
        <w:pStyle w:val="CommentText"/>
        <w:rPr>
          <w:rFonts w:ascii="Verdana" w:hAnsi="Verdana" w:cs="Arial"/>
          <w:b/>
          <w:sz w:val="22"/>
          <w:szCs w:val="22"/>
        </w:rPr>
      </w:pPr>
    </w:p>
    <w:tbl>
      <w:tblPr>
        <w:tblW w:w="8364" w:type="dxa"/>
        <w:tblLook w:val="04A0" w:firstRow="1" w:lastRow="0" w:firstColumn="1" w:lastColumn="0" w:noHBand="0" w:noVBand="1"/>
      </w:tblPr>
      <w:tblGrid>
        <w:gridCol w:w="1843"/>
        <w:gridCol w:w="2268"/>
        <w:gridCol w:w="2126"/>
        <w:gridCol w:w="2127"/>
      </w:tblGrid>
      <w:tr w:rsidR="00760877" w:rsidRPr="0067672F" w14:paraId="008FD375" w14:textId="77777777" w:rsidTr="008A3C97">
        <w:trPr>
          <w:trHeight w:val="508"/>
        </w:trPr>
        <w:tc>
          <w:tcPr>
            <w:tcW w:w="1843" w:type="dxa"/>
            <w:tcBorders>
              <w:bottom w:val="single" w:sz="4" w:space="0" w:color="auto"/>
              <w:right w:val="single" w:sz="4" w:space="0" w:color="auto"/>
            </w:tcBorders>
            <w:shd w:val="clear" w:color="auto" w:fill="auto"/>
            <w:noWrap/>
            <w:vAlign w:val="bottom"/>
            <w:hideMark/>
          </w:tcPr>
          <w:p w14:paraId="05DC46BD" w14:textId="77777777" w:rsidR="00760877" w:rsidRPr="0067672F" w:rsidRDefault="00760877" w:rsidP="00760877">
            <w:pPr>
              <w:rPr>
                <w:rFonts w:ascii="Verdana" w:hAnsi="Verdana"/>
                <w:color w:val="000000"/>
                <w:szCs w:val="22"/>
                <w:lang w:eastAsia="en-GB"/>
              </w:rPr>
            </w:pPr>
            <w:r w:rsidRPr="0067672F">
              <w:rPr>
                <w:rFonts w:ascii="Verdana" w:hAnsi="Verdana"/>
                <w:color w:val="000000"/>
                <w:szCs w:val="22"/>
                <w:lang w:eastAsia="en-GB"/>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E927E2C"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Expected additional cases on treatment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04FF6310"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Cumulative cases on treatment</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548800B4"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Cost of cumulative cases</w:t>
            </w:r>
          </w:p>
        </w:tc>
      </w:tr>
      <w:tr w:rsidR="00760877" w:rsidRPr="0067672F" w14:paraId="07272911" w14:textId="77777777" w:rsidTr="008A3C97">
        <w:trPr>
          <w:trHeight w:val="300"/>
        </w:trPr>
        <w:tc>
          <w:tcPr>
            <w:tcW w:w="1843" w:type="dxa"/>
            <w:tcBorders>
              <w:top w:val="single" w:sz="4" w:space="0" w:color="auto"/>
              <w:left w:val="single" w:sz="4" w:space="0" w:color="auto"/>
              <w:bottom w:val="single" w:sz="4" w:space="0" w:color="auto"/>
              <w:right w:val="nil"/>
            </w:tcBorders>
            <w:shd w:val="clear" w:color="auto" w:fill="auto"/>
            <w:noWrap/>
            <w:vAlign w:val="bottom"/>
            <w:hideMark/>
          </w:tcPr>
          <w:p w14:paraId="28AFEFB8"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1</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08C32E0"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14:paraId="1D886FDD"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14:paraId="16384120"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55FB47E3" w14:textId="77777777" w:rsidTr="008A3C97">
        <w:trPr>
          <w:trHeight w:val="300"/>
        </w:trPr>
        <w:tc>
          <w:tcPr>
            <w:tcW w:w="1843" w:type="dxa"/>
            <w:tcBorders>
              <w:top w:val="nil"/>
              <w:left w:val="single" w:sz="4" w:space="0" w:color="auto"/>
              <w:bottom w:val="single" w:sz="4" w:space="0" w:color="auto"/>
              <w:right w:val="nil"/>
            </w:tcBorders>
            <w:shd w:val="clear" w:color="auto" w:fill="auto"/>
            <w:noWrap/>
            <w:vAlign w:val="bottom"/>
            <w:hideMark/>
          </w:tcPr>
          <w:p w14:paraId="045F2CBF"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2</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2445E5F"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14:paraId="23E54B30"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14:paraId="2E8240C3"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2E7DA591" w14:textId="77777777" w:rsidTr="008A3C97">
        <w:trPr>
          <w:trHeight w:val="300"/>
        </w:trPr>
        <w:tc>
          <w:tcPr>
            <w:tcW w:w="1843" w:type="dxa"/>
            <w:tcBorders>
              <w:top w:val="nil"/>
              <w:left w:val="single" w:sz="4" w:space="0" w:color="auto"/>
              <w:bottom w:val="single" w:sz="4" w:space="0" w:color="auto"/>
              <w:right w:val="nil"/>
            </w:tcBorders>
            <w:shd w:val="clear" w:color="auto" w:fill="auto"/>
            <w:noWrap/>
            <w:vAlign w:val="bottom"/>
            <w:hideMark/>
          </w:tcPr>
          <w:p w14:paraId="2401C182"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695D3C"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14:paraId="4F2AABCD"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14:paraId="330DAB9E"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1CA42D31" w14:textId="77777777" w:rsidTr="008A3C97">
        <w:trPr>
          <w:trHeight w:val="300"/>
        </w:trPr>
        <w:tc>
          <w:tcPr>
            <w:tcW w:w="1843" w:type="dxa"/>
            <w:tcBorders>
              <w:top w:val="nil"/>
              <w:left w:val="single" w:sz="4" w:space="0" w:color="auto"/>
              <w:bottom w:val="single" w:sz="4" w:space="0" w:color="auto"/>
              <w:right w:val="nil"/>
            </w:tcBorders>
            <w:shd w:val="clear" w:color="auto" w:fill="auto"/>
            <w:noWrap/>
            <w:vAlign w:val="bottom"/>
            <w:hideMark/>
          </w:tcPr>
          <w:p w14:paraId="254564FF"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4</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24062C0"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14:paraId="2B1950F8"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14:paraId="0543FF42"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r w:rsidR="00760877" w:rsidRPr="0067672F" w14:paraId="1C76FFF5" w14:textId="77777777" w:rsidTr="008A3C97">
        <w:trPr>
          <w:trHeight w:val="300"/>
        </w:trPr>
        <w:tc>
          <w:tcPr>
            <w:tcW w:w="1843" w:type="dxa"/>
            <w:tcBorders>
              <w:top w:val="nil"/>
              <w:left w:val="single" w:sz="4" w:space="0" w:color="auto"/>
              <w:bottom w:val="single" w:sz="4" w:space="0" w:color="auto"/>
              <w:right w:val="nil"/>
            </w:tcBorders>
            <w:shd w:val="clear" w:color="auto" w:fill="auto"/>
            <w:noWrap/>
            <w:vAlign w:val="bottom"/>
            <w:hideMark/>
          </w:tcPr>
          <w:p w14:paraId="61667CB4"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3CADF4E"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6" w:type="dxa"/>
            <w:tcBorders>
              <w:top w:val="nil"/>
              <w:left w:val="nil"/>
              <w:bottom w:val="single" w:sz="4" w:space="0" w:color="auto"/>
              <w:right w:val="single" w:sz="4" w:space="0" w:color="auto"/>
            </w:tcBorders>
            <w:shd w:val="clear" w:color="auto" w:fill="auto"/>
            <w:noWrap/>
            <w:vAlign w:val="bottom"/>
            <w:hideMark/>
          </w:tcPr>
          <w:p w14:paraId="08E58BFB"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c>
          <w:tcPr>
            <w:tcW w:w="2127" w:type="dxa"/>
            <w:tcBorders>
              <w:top w:val="nil"/>
              <w:left w:val="nil"/>
              <w:bottom w:val="single" w:sz="4" w:space="0" w:color="auto"/>
              <w:right w:val="single" w:sz="4" w:space="0" w:color="auto"/>
            </w:tcBorders>
            <w:shd w:val="clear" w:color="auto" w:fill="auto"/>
            <w:noWrap/>
            <w:vAlign w:val="bottom"/>
            <w:hideMark/>
          </w:tcPr>
          <w:p w14:paraId="6937CB16" w14:textId="77777777" w:rsidR="00760877" w:rsidRPr="0067672F" w:rsidRDefault="00760877" w:rsidP="00760877">
            <w:pPr>
              <w:jc w:val="center"/>
              <w:rPr>
                <w:rFonts w:ascii="Verdana" w:hAnsi="Verdana"/>
                <w:color w:val="000000"/>
                <w:szCs w:val="22"/>
                <w:lang w:eastAsia="en-GB"/>
              </w:rPr>
            </w:pPr>
            <w:r w:rsidRPr="0067672F">
              <w:rPr>
                <w:rFonts w:ascii="Verdana" w:hAnsi="Verdana"/>
                <w:color w:val="000000"/>
                <w:szCs w:val="22"/>
                <w:lang w:eastAsia="en-GB"/>
              </w:rPr>
              <w:t>£0</w:t>
            </w:r>
          </w:p>
        </w:tc>
      </w:tr>
    </w:tbl>
    <w:p w14:paraId="1C46223D" w14:textId="478422D2" w:rsidR="00760877" w:rsidRDefault="00760877" w:rsidP="00760877">
      <w:pPr>
        <w:pStyle w:val="CommentText"/>
        <w:rPr>
          <w:rFonts w:ascii="Verdana" w:hAnsi="Verdana" w:cs="Arial"/>
          <w:b/>
          <w:sz w:val="22"/>
          <w:szCs w:val="22"/>
        </w:rPr>
      </w:pPr>
    </w:p>
    <w:p w14:paraId="21A8CEB8" w14:textId="25680435" w:rsidR="00C96BB0" w:rsidRDefault="00C96BB0" w:rsidP="00C96BB0">
      <w:pPr>
        <w:pStyle w:val="CommentText"/>
        <w:jc w:val="both"/>
        <w:rPr>
          <w:rFonts w:ascii="Verdana" w:hAnsi="Verdana" w:cstheme="minorHAnsi"/>
          <w:bCs/>
          <w:sz w:val="22"/>
          <w:szCs w:val="22"/>
        </w:rPr>
      </w:pPr>
      <w:r w:rsidRPr="004D51BA">
        <w:rPr>
          <w:rFonts w:ascii="Verdana" w:hAnsi="Verdana" w:cstheme="minorHAnsi"/>
          <w:bCs/>
          <w:sz w:val="22"/>
          <w:szCs w:val="22"/>
        </w:rPr>
        <w:t xml:space="preserve">This is the estimated additional increase in primary care prescriptions as a result of having the FLS in place, compared to standard care. </w:t>
      </w:r>
    </w:p>
    <w:p w14:paraId="22762C83" w14:textId="77777777" w:rsidR="004D51BA" w:rsidRPr="004D51BA" w:rsidRDefault="004D51BA" w:rsidP="00C96BB0">
      <w:pPr>
        <w:pStyle w:val="CommentText"/>
        <w:jc w:val="both"/>
        <w:rPr>
          <w:rFonts w:ascii="Verdana" w:hAnsi="Verdana" w:cstheme="minorHAnsi"/>
          <w:bCs/>
          <w:sz w:val="22"/>
          <w:szCs w:val="22"/>
        </w:rPr>
      </w:pPr>
    </w:p>
    <w:p w14:paraId="08BE852A" w14:textId="5C386DAB" w:rsidR="00760877" w:rsidRDefault="00760877" w:rsidP="00760877">
      <w:pPr>
        <w:pStyle w:val="CommentText"/>
        <w:rPr>
          <w:rFonts w:ascii="Verdana" w:hAnsi="Verdana" w:cs="Arial"/>
          <w:b/>
          <w:sz w:val="22"/>
          <w:szCs w:val="22"/>
          <w:u w:val="single"/>
        </w:rPr>
      </w:pPr>
      <w:r w:rsidRPr="0067672F">
        <w:rPr>
          <w:rFonts w:ascii="Verdana" w:hAnsi="Verdana" w:cs="Arial"/>
          <w:b/>
          <w:sz w:val="22"/>
          <w:szCs w:val="22"/>
          <w:u w:val="single"/>
        </w:rPr>
        <w:t xml:space="preserve">Cost of Additional DXA Scans and Reports </w:t>
      </w:r>
      <w:r w:rsidR="00686FF3">
        <w:rPr>
          <w:rFonts w:ascii="Verdana" w:hAnsi="Verdana" w:cs="Arial"/>
          <w:b/>
          <w:sz w:val="22"/>
          <w:szCs w:val="22"/>
          <w:u w:val="single"/>
        </w:rPr>
        <w:t>[</w:t>
      </w:r>
      <w:r w:rsidR="00B60E8A">
        <w:rPr>
          <w:rFonts w:ascii="Verdana" w:hAnsi="Verdana" w:cs="Arial"/>
          <w:b/>
          <w:sz w:val="22"/>
          <w:szCs w:val="22"/>
          <w:u w:val="single"/>
        </w:rPr>
        <w:t xml:space="preserve">if paid for </w:t>
      </w:r>
      <w:r w:rsidRPr="0067672F">
        <w:rPr>
          <w:rFonts w:ascii="Verdana" w:hAnsi="Verdana" w:cs="Arial"/>
          <w:b/>
          <w:sz w:val="22"/>
          <w:szCs w:val="22"/>
          <w:u w:val="single"/>
        </w:rPr>
        <w:t>at tariff</w:t>
      </w:r>
      <w:r w:rsidR="00686FF3">
        <w:rPr>
          <w:rFonts w:ascii="Verdana" w:hAnsi="Verdana" w:cs="Arial"/>
          <w:b/>
          <w:sz w:val="22"/>
          <w:szCs w:val="22"/>
          <w:u w:val="single"/>
        </w:rPr>
        <w:t>]</w:t>
      </w:r>
      <w:r>
        <w:rPr>
          <w:rFonts w:ascii="Verdana" w:hAnsi="Verdana" w:cs="Arial"/>
          <w:b/>
          <w:sz w:val="22"/>
          <w:szCs w:val="22"/>
          <w:u w:val="single"/>
        </w:rPr>
        <w:t>:</w:t>
      </w:r>
    </w:p>
    <w:p w14:paraId="488F5BCD" w14:textId="37D83E20" w:rsidR="006F598F" w:rsidRDefault="00326DEF" w:rsidP="00326DEF">
      <w:pPr>
        <w:spacing w:after="120"/>
        <w:jc w:val="both"/>
        <w:rPr>
          <w:rFonts w:ascii="Verdana" w:hAnsi="Verdana" w:cs="Arial"/>
          <w:b/>
          <w:szCs w:val="22"/>
        </w:rPr>
      </w:pPr>
      <w:r w:rsidRPr="0067672F">
        <w:rPr>
          <w:rFonts w:ascii="Verdana" w:hAnsi="Verdana" w:cs="Arial"/>
          <w:b/>
          <w:szCs w:val="22"/>
        </w:rPr>
        <w:t xml:space="preserve">[The cost of the </w:t>
      </w:r>
      <w:r>
        <w:rPr>
          <w:rFonts w:ascii="Verdana" w:hAnsi="Verdana" w:cs="Arial"/>
          <w:b/>
          <w:szCs w:val="22"/>
        </w:rPr>
        <w:t>providing</w:t>
      </w:r>
      <w:r w:rsidRPr="0067672F">
        <w:rPr>
          <w:rFonts w:ascii="Verdana" w:hAnsi="Verdana" w:cs="Arial"/>
          <w:b/>
          <w:szCs w:val="22"/>
        </w:rPr>
        <w:t xml:space="preserve"> DXA scans will</w:t>
      </w:r>
      <w:r w:rsidRPr="0067672F">
        <w:rPr>
          <w:rFonts w:ascii="Verdana" w:hAnsi="Verdana" w:cs="Arial"/>
          <w:szCs w:val="22"/>
        </w:rPr>
        <w:t xml:space="preserve"> </w:t>
      </w:r>
      <w:r w:rsidRPr="0067672F">
        <w:rPr>
          <w:rFonts w:ascii="Verdana" w:hAnsi="Verdana" w:cs="Arial"/>
          <w:b/>
          <w:szCs w:val="22"/>
        </w:rPr>
        <w:t>need to reflect local pathways/contracting</w:t>
      </w:r>
      <w:r>
        <w:rPr>
          <w:rFonts w:ascii="Verdana" w:hAnsi="Verdana" w:cs="Arial"/>
          <w:b/>
          <w:szCs w:val="22"/>
        </w:rPr>
        <w:t xml:space="preserve"> i.e. whether you are asking for additional resource </w:t>
      </w:r>
      <w:r w:rsidR="002E4DBC">
        <w:rPr>
          <w:rFonts w:ascii="Verdana" w:hAnsi="Verdana" w:cs="Arial"/>
          <w:b/>
          <w:szCs w:val="22"/>
        </w:rPr>
        <w:t>– which would need to be added to the ‘resource</w:t>
      </w:r>
      <w:r w:rsidR="00A77CBB">
        <w:rPr>
          <w:rFonts w:ascii="Verdana" w:hAnsi="Verdana" w:cs="Arial"/>
          <w:b/>
          <w:szCs w:val="22"/>
        </w:rPr>
        <w:t>’</w:t>
      </w:r>
      <w:r w:rsidR="002E4DBC">
        <w:rPr>
          <w:rFonts w:ascii="Verdana" w:hAnsi="Verdana" w:cs="Arial"/>
          <w:b/>
          <w:szCs w:val="22"/>
        </w:rPr>
        <w:t xml:space="preserve"> </w:t>
      </w:r>
      <w:r w:rsidR="00A77CBB">
        <w:rPr>
          <w:rFonts w:ascii="Verdana" w:hAnsi="Verdana" w:cs="Arial"/>
          <w:b/>
          <w:szCs w:val="22"/>
        </w:rPr>
        <w:t xml:space="preserve">table above - </w:t>
      </w:r>
      <w:r>
        <w:rPr>
          <w:rFonts w:ascii="Verdana" w:hAnsi="Verdana" w:cs="Arial"/>
          <w:b/>
          <w:szCs w:val="22"/>
        </w:rPr>
        <w:t>to complete the DXAs and report them or whether this will be paid for at tariff</w:t>
      </w:r>
      <w:r w:rsidRPr="0067672F">
        <w:rPr>
          <w:rFonts w:ascii="Verdana" w:hAnsi="Verdana" w:cs="Arial"/>
          <w:b/>
          <w:szCs w:val="22"/>
        </w:rPr>
        <w:t>]</w:t>
      </w:r>
      <w:r w:rsidRPr="0067672F">
        <w:rPr>
          <w:rFonts w:ascii="Verdana" w:hAnsi="Verdana" w:cs="Arial"/>
          <w:szCs w:val="22"/>
        </w:rPr>
        <w:t>.</w:t>
      </w:r>
      <w:r>
        <w:rPr>
          <w:rFonts w:ascii="Verdana" w:hAnsi="Verdana" w:cs="Arial"/>
          <w:szCs w:val="22"/>
        </w:rPr>
        <w:t xml:space="preserve"> </w:t>
      </w:r>
    </w:p>
    <w:tbl>
      <w:tblPr>
        <w:tblW w:w="5240" w:type="dxa"/>
        <w:tblLook w:val="04A0" w:firstRow="1" w:lastRow="0" w:firstColumn="1" w:lastColumn="0" w:noHBand="0" w:noVBand="1"/>
      </w:tblPr>
      <w:tblGrid>
        <w:gridCol w:w="1838"/>
        <w:gridCol w:w="1701"/>
        <w:gridCol w:w="1701"/>
      </w:tblGrid>
      <w:tr w:rsidR="00760877" w:rsidRPr="0067672F" w14:paraId="0BF9340C" w14:textId="77777777" w:rsidTr="008A3C97">
        <w:trPr>
          <w:trHeight w:val="557"/>
        </w:trPr>
        <w:tc>
          <w:tcPr>
            <w:tcW w:w="1838" w:type="dxa"/>
            <w:tcBorders>
              <w:bottom w:val="single" w:sz="4" w:space="0" w:color="auto"/>
              <w:right w:val="single" w:sz="4" w:space="0" w:color="auto"/>
            </w:tcBorders>
            <w:shd w:val="clear" w:color="auto" w:fill="auto"/>
            <w:noWrap/>
            <w:vAlign w:val="bottom"/>
            <w:hideMark/>
          </w:tcPr>
          <w:p w14:paraId="10075F2C" w14:textId="77777777" w:rsidR="00760877" w:rsidRPr="0067672F" w:rsidRDefault="00760877" w:rsidP="00760877">
            <w:pPr>
              <w:rPr>
                <w:rFonts w:ascii="Verdana" w:hAnsi="Verdana"/>
                <w:color w:val="000000"/>
                <w:szCs w:val="20"/>
                <w:lang w:eastAsia="en-GB"/>
              </w:rPr>
            </w:pPr>
            <w:r w:rsidRPr="0067672F">
              <w:rPr>
                <w:rFonts w:ascii="Verdana" w:hAnsi="Verdana"/>
                <w:color w:val="00000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hideMark/>
          </w:tcPr>
          <w:p w14:paraId="05DAD655" w14:textId="77777777" w:rsidR="00760877" w:rsidRPr="0067672F" w:rsidRDefault="00760877" w:rsidP="00760877">
            <w:pPr>
              <w:jc w:val="center"/>
              <w:rPr>
                <w:rFonts w:ascii="Verdana" w:hAnsi="Verdana"/>
                <w:b/>
                <w:color w:val="000000"/>
                <w:szCs w:val="20"/>
                <w:lang w:eastAsia="en-GB"/>
              </w:rPr>
            </w:pPr>
            <w:r w:rsidRPr="0067672F">
              <w:rPr>
                <w:rFonts w:ascii="Verdana" w:hAnsi="Verdana"/>
                <w:b/>
                <w:color w:val="000000"/>
                <w:szCs w:val="20"/>
                <w:lang w:eastAsia="en-GB"/>
              </w:rPr>
              <w:t>Expected additional scans</w:t>
            </w:r>
          </w:p>
        </w:tc>
        <w:tc>
          <w:tcPr>
            <w:tcW w:w="1701" w:type="dxa"/>
            <w:tcBorders>
              <w:top w:val="single" w:sz="4" w:space="0" w:color="auto"/>
              <w:left w:val="nil"/>
              <w:bottom w:val="single" w:sz="4" w:space="0" w:color="auto"/>
              <w:right w:val="single" w:sz="4" w:space="0" w:color="auto"/>
            </w:tcBorders>
            <w:shd w:val="clear" w:color="auto" w:fill="auto"/>
            <w:hideMark/>
          </w:tcPr>
          <w:p w14:paraId="375D28F6" w14:textId="77777777" w:rsidR="00760877" w:rsidRPr="0067672F" w:rsidRDefault="00760877" w:rsidP="00760877">
            <w:pPr>
              <w:jc w:val="center"/>
              <w:rPr>
                <w:rFonts w:ascii="Verdana" w:hAnsi="Verdana"/>
                <w:b/>
                <w:color w:val="000000"/>
                <w:szCs w:val="20"/>
                <w:lang w:eastAsia="en-GB"/>
              </w:rPr>
            </w:pPr>
            <w:r w:rsidRPr="0067672F">
              <w:rPr>
                <w:rFonts w:ascii="Verdana" w:hAnsi="Verdana"/>
                <w:b/>
                <w:color w:val="000000"/>
                <w:szCs w:val="20"/>
                <w:lang w:eastAsia="en-GB"/>
              </w:rPr>
              <w:t>Cost of additional scans</w:t>
            </w:r>
          </w:p>
        </w:tc>
      </w:tr>
      <w:tr w:rsidR="00760877" w:rsidRPr="0067672F" w14:paraId="4CC1E1FD" w14:textId="77777777" w:rsidTr="008A3C97">
        <w:trPr>
          <w:trHeight w:val="300"/>
        </w:trPr>
        <w:tc>
          <w:tcPr>
            <w:tcW w:w="1838" w:type="dxa"/>
            <w:tcBorders>
              <w:top w:val="single" w:sz="4" w:space="0" w:color="auto"/>
              <w:left w:val="single" w:sz="4" w:space="0" w:color="auto"/>
              <w:bottom w:val="single" w:sz="4" w:space="0" w:color="auto"/>
              <w:right w:val="nil"/>
            </w:tcBorders>
            <w:shd w:val="clear" w:color="auto" w:fill="auto"/>
            <w:noWrap/>
            <w:vAlign w:val="bottom"/>
            <w:hideMark/>
          </w:tcPr>
          <w:p w14:paraId="724E5931"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C0ACC7"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74B1316C"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r>
      <w:tr w:rsidR="00760877" w:rsidRPr="0067672F" w14:paraId="00141D4A" w14:textId="77777777" w:rsidTr="008A3C97">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45077429"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002D26"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03D0E5FF"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r>
      <w:tr w:rsidR="00760877" w:rsidRPr="0067672F" w14:paraId="340AAA8A" w14:textId="77777777" w:rsidTr="008A3C97">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1EB45575"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73F3E7A"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204C8EB0"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r>
      <w:tr w:rsidR="00760877" w:rsidRPr="0067672F" w14:paraId="1CDEE2D9" w14:textId="77777777" w:rsidTr="008A3C97">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183D373E"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F7D0775"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7A940DB5"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r>
      <w:tr w:rsidR="00760877" w:rsidRPr="0067672F" w14:paraId="5AE95EA0" w14:textId="77777777" w:rsidTr="008A3C97">
        <w:trPr>
          <w:trHeight w:val="300"/>
        </w:trPr>
        <w:tc>
          <w:tcPr>
            <w:tcW w:w="1838" w:type="dxa"/>
            <w:tcBorders>
              <w:top w:val="nil"/>
              <w:left w:val="single" w:sz="4" w:space="0" w:color="auto"/>
              <w:bottom w:val="single" w:sz="4" w:space="0" w:color="auto"/>
              <w:right w:val="nil"/>
            </w:tcBorders>
            <w:shd w:val="clear" w:color="auto" w:fill="auto"/>
            <w:noWrap/>
            <w:vAlign w:val="bottom"/>
            <w:hideMark/>
          </w:tcPr>
          <w:p w14:paraId="2DB16FAE" w14:textId="77777777" w:rsidR="00760877" w:rsidRPr="0067672F" w:rsidRDefault="00760877" w:rsidP="00760877">
            <w:pPr>
              <w:jc w:val="center"/>
              <w:rPr>
                <w:rFonts w:ascii="Verdana" w:hAnsi="Verdana"/>
                <w:b/>
                <w:bCs/>
                <w:color w:val="000000"/>
                <w:szCs w:val="22"/>
                <w:lang w:eastAsia="en-GB"/>
              </w:rPr>
            </w:pPr>
            <w:r w:rsidRPr="0067672F">
              <w:rPr>
                <w:rFonts w:ascii="Verdana" w:hAnsi="Verdana"/>
                <w:b/>
                <w:bCs/>
                <w:color w:val="000000"/>
                <w:szCs w:val="22"/>
                <w:lang w:eastAsia="en-GB"/>
              </w:rPr>
              <w:t>Year 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B163FAE"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c>
          <w:tcPr>
            <w:tcW w:w="1701" w:type="dxa"/>
            <w:tcBorders>
              <w:top w:val="nil"/>
              <w:left w:val="nil"/>
              <w:bottom w:val="single" w:sz="4" w:space="0" w:color="auto"/>
              <w:right w:val="single" w:sz="4" w:space="0" w:color="auto"/>
            </w:tcBorders>
            <w:shd w:val="clear" w:color="auto" w:fill="auto"/>
            <w:noWrap/>
            <w:vAlign w:val="bottom"/>
            <w:hideMark/>
          </w:tcPr>
          <w:p w14:paraId="6F95A50A" w14:textId="77777777" w:rsidR="00760877" w:rsidRPr="0067672F" w:rsidRDefault="00760877" w:rsidP="00760877">
            <w:pPr>
              <w:jc w:val="center"/>
              <w:rPr>
                <w:rFonts w:ascii="Verdana" w:hAnsi="Verdana"/>
                <w:color w:val="000000"/>
                <w:szCs w:val="20"/>
                <w:lang w:eastAsia="en-GB"/>
              </w:rPr>
            </w:pPr>
            <w:r w:rsidRPr="0067672F">
              <w:rPr>
                <w:rFonts w:ascii="Verdana" w:hAnsi="Verdana"/>
                <w:color w:val="000000"/>
                <w:szCs w:val="20"/>
                <w:lang w:eastAsia="en-GB"/>
              </w:rPr>
              <w:t>£0</w:t>
            </w:r>
          </w:p>
        </w:tc>
      </w:tr>
    </w:tbl>
    <w:p w14:paraId="45E012D7" w14:textId="4FC851FA" w:rsidR="00760877" w:rsidRDefault="00760877" w:rsidP="00760877">
      <w:pPr>
        <w:pStyle w:val="CommentText"/>
        <w:rPr>
          <w:rFonts w:ascii="Verdana" w:hAnsi="Verdana" w:cs="Arial"/>
          <w:b/>
          <w:sz w:val="22"/>
          <w:szCs w:val="22"/>
        </w:rPr>
      </w:pPr>
    </w:p>
    <w:p w14:paraId="4359ED0A" w14:textId="2A966D77" w:rsidR="00FE7602" w:rsidRDefault="00FE7602" w:rsidP="00FE7602">
      <w:pPr>
        <w:pStyle w:val="CommentText"/>
        <w:jc w:val="both"/>
        <w:rPr>
          <w:rFonts w:ascii="Verdana" w:hAnsi="Verdana" w:cstheme="minorHAnsi"/>
          <w:bCs/>
          <w:sz w:val="22"/>
          <w:szCs w:val="22"/>
        </w:rPr>
      </w:pPr>
      <w:r w:rsidRPr="004D51BA">
        <w:rPr>
          <w:rFonts w:ascii="Verdana" w:hAnsi="Verdana" w:cstheme="minorHAnsi"/>
          <w:bCs/>
          <w:sz w:val="22"/>
          <w:szCs w:val="22"/>
        </w:rPr>
        <w:t xml:space="preserve">This is the estimated additional number of DXAs required as a result of having the FLS in place, compared to standard care. </w:t>
      </w:r>
    </w:p>
    <w:p w14:paraId="67F239D5" w14:textId="77777777" w:rsidR="004D51BA" w:rsidRPr="004D51BA" w:rsidRDefault="004D51BA" w:rsidP="00FE7602">
      <w:pPr>
        <w:pStyle w:val="CommentText"/>
        <w:jc w:val="both"/>
        <w:rPr>
          <w:rFonts w:ascii="Verdana" w:hAnsi="Verdana" w:cstheme="minorHAnsi"/>
          <w:bCs/>
          <w:sz w:val="22"/>
          <w:szCs w:val="22"/>
        </w:rPr>
      </w:pPr>
    </w:p>
    <w:p w14:paraId="51210E45" w14:textId="77777777" w:rsidR="00326DEF" w:rsidRDefault="00326DEF" w:rsidP="007D4C4C">
      <w:pPr>
        <w:pStyle w:val="CommentText"/>
        <w:rPr>
          <w:rFonts w:ascii="Verdana" w:hAnsi="Verdana" w:cs="Arial"/>
          <w:b/>
          <w:sz w:val="22"/>
          <w:szCs w:val="22"/>
          <w:u w:val="single"/>
        </w:rPr>
      </w:pPr>
    </w:p>
    <w:p w14:paraId="4A0754A5" w14:textId="3CFA69F1" w:rsidR="00760877" w:rsidRDefault="00760877" w:rsidP="007D4C4C">
      <w:pPr>
        <w:pStyle w:val="CommentText"/>
        <w:rPr>
          <w:rFonts w:ascii="Verdana" w:hAnsi="Verdana" w:cs="Arial"/>
          <w:b/>
          <w:sz w:val="22"/>
          <w:szCs w:val="22"/>
          <w:u w:val="single"/>
        </w:rPr>
      </w:pPr>
      <w:r w:rsidRPr="00070B6D">
        <w:rPr>
          <w:rFonts w:ascii="Verdana" w:hAnsi="Verdana" w:cs="Arial"/>
          <w:b/>
          <w:sz w:val="22"/>
          <w:szCs w:val="22"/>
          <w:u w:val="single"/>
        </w:rPr>
        <w:t xml:space="preserve">Summary of all costs: </w:t>
      </w:r>
    </w:p>
    <w:p w14:paraId="196FD5C9" w14:textId="77777777" w:rsidR="004D51BA" w:rsidRDefault="004D51BA" w:rsidP="007D4C4C">
      <w:pPr>
        <w:pStyle w:val="CommentText"/>
        <w:rPr>
          <w:rFonts w:ascii="Verdana" w:hAnsi="Verdana" w:cs="Arial"/>
          <w:b/>
          <w:szCs w:val="22"/>
        </w:rPr>
      </w:pPr>
    </w:p>
    <w:tbl>
      <w:tblPr>
        <w:tblW w:w="9320" w:type="dxa"/>
        <w:tblLook w:val="04A0" w:firstRow="1" w:lastRow="0" w:firstColumn="1" w:lastColumn="0" w:noHBand="0" w:noVBand="1"/>
      </w:tblPr>
      <w:tblGrid>
        <w:gridCol w:w="1420"/>
        <w:gridCol w:w="1415"/>
        <w:gridCol w:w="2285"/>
        <w:gridCol w:w="1684"/>
        <w:gridCol w:w="1240"/>
        <w:gridCol w:w="1340"/>
      </w:tblGrid>
      <w:tr w:rsidR="00760877" w:rsidRPr="00070B6D" w14:paraId="10240A62" w14:textId="77777777" w:rsidTr="008A3C97">
        <w:trPr>
          <w:trHeight w:val="900"/>
        </w:trPr>
        <w:tc>
          <w:tcPr>
            <w:tcW w:w="1420" w:type="dxa"/>
            <w:tcBorders>
              <w:bottom w:val="single" w:sz="4" w:space="0" w:color="auto"/>
              <w:right w:val="single" w:sz="4" w:space="0" w:color="auto"/>
            </w:tcBorders>
            <w:shd w:val="clear" w:color="auto" w:fill="auto"/>
            <w:vAlign w:val="bottom"/>
            <w:hideMark/>
          </w:tcPr>
          <w:p w14:paraId="16472A24" w14:textId="77777777" w:rsidR="00760877" w:rsidRPr="00070B6D" w:rsidRDefault="00760877" w:rsidP="00760877">
            <w:pPr>
              <w:rPr>
                <w:rFonts w:ascii="Verdana" w:hAnsi="Verdana"/>
                <w:color w:val="000000"/>
                <w:szCs w:val="22"/>
                <w:lang w:eastAsia="en-GB"/>
              </w:rPr>
            </w:pPr>
            <w:r w:rsidRPr="00070B6D">
              <w:rPr>
                <w:rFonts w:ascii="Verdana" w:hAnsi="Verdana"/>
                <w:color w:val="000000"/>
                <w:szCs w:val="22"/>
                <w:lang w:eastAsia="en-GB"/>
              </w:rPr>
              <w:t> </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32865A5"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FLS cost</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7FD0381D"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 xml:space="preserve">Additional </w:t>
            </w:r>
            <w:r>
              <w:rPr>
                <w:rFonts w:ascii="Verdana" w:hAnsi="Verdana"/>
                <w:b/>
                <w:bCs/>
                <w:color w:val="000000"/>
                <w:szCs w:val="22"/>
                <w:lang w:eastAsia="en-GB"/>
              </w:rPr>
              <w:t>Primary Care P</w:t>
            </w:r>
            <w:r w:rsidRPr="00070B6D">
              <w:rPr>
                <w:rFonts w:ascii="Verdana" w:hAnsi="Verdana"/>
                <w:b/>
                <w:bCs/>
                <w:color w:val="000000"/>
                <w:szCs w:val="22"/>
                <w:lang w:eastAsia="en-GB"/>
              </w:rPr>
              <w:t xml:space="preserve">rescribing </w:t>
            </w:r>
            <w:r>
              <w:rPr>
                <w:rFonts w:ascii="Verdana" w:hAnsi="Verdana"/>
                <w:b/>
                <w:bCs/>
                <w:color w:val="000000"/>
                <w:szCs w:val="22"/>
                <w:lang w:eastAsia="en-GB"/>
              </w:rPr>
              <w:t>C</w:t>
            </w:r>
            <w:r w:rsidRPr="00070B6D">
              <w:rPr>
                <w:rFonts w:ascii="Verdana" w:hAnsi="Verdana"/>
                <w:b/>
                <w:bCs/>
                <w:color w:val="000000"/>
                <w:szCs w:val="22"/>
                <w:lang w:eastAsia="en-GB"/>
              </w:rPr>
              <w:t>ost</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7205B42E"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 xml:space="preserve">Additional DXA scans </w:t>
            </w:r>
            <w:r w:rsidRPr="00326DEF">
              <w:rPr>
                <w:rFonts w:ascii="Verdana" w:hAnsi="Verdana"/>
                <w:b/>
                <w:bCs/>
                <w:color w:val="000000"/>
                <w:szCs w:val="22"/>
                <w:highlight w:val="yellow"/>
                <w:lang w:eastAsia="en-GB"/>
              </w:rPr>
              <w:t>at tariff</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FDE4E75" w14:textId="77777777" w:rsidR="00760877" w:rsidRPr="00070B6D" w:rsidRDefault="00760877" w:rsidP="00760877">
            <w:pPr>
              <w:jc w:val="center"/>
              <w:rPr>
                <w:rFonts w:ascii="Verdana" w:hAnsi="Verdana"/>
                <w:b/>
                <w:bCs/>
                <w:color w:val="000000"/>
                <w:szCs w:val="22"/>
                <w:lang w:eastAsia="en-GB"/>
              </w:rPr>
            </w:pPr>
            <w:r>
              <w:rPr>
                <w:rFonts w:ascii="Verdana" w:hAnsi="Verdana"/>
                <w:b/>
                <w:bCs/>
                <w:color w:val="000000"/>
                <w:szCs w:val="22"/>
                <w:lang w:eastAsia="en-GB"/>
              </w:rPr>
              <w:t>Training Costs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E74C12F"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All costs</w:t>
            </w:r>
          </w:p>
        </w:tc>
      </w:tr>
      <w:tr w:rsidR="00760877" w:rsidRPr="00070B6D" w14:paraId="5A66E00F" w14:textId="77777777" w:rsidTr="008A3C9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AF1111"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Year 1</w:t>
            </w:r>
          </w:p>
        </w:tc>
        <w:tc>
          <w:tcPr>
            <w:tcW w:w="1415" w:type="dxa"/>
            <w:tcBorders>
              <w:top w:val="nil"/>
              <w:left w:val="nil"/>
              <w:bottom w:val="single" w:sz="4" w:space="0" w:color="auto"/>
              <w:right w:val="single" w:sz="4" w:space="0" w:color="auto"/>
            </w:tcBorders>
            <w:shd w:val="clear" w:color="auto" w:fill="auto"/>
            <w:noWrap/>
            <w:vAlign w:val="bottom"/>
            <w:hideMark/>
          </w:tcPr>
          <w:p w14:paraId="442E8D3F"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2285" w:type="dxa"/>
            <w:tcBorders>
              <w:top w:val="nil"/>
              <w:left w:val="nil"/>
              <w:bottom w:val="single" w:sz="4" w:space="0" w:color="auto"/>
              <w:right w:val="single" w:sz="4" w:space="0" w:color="auto"/>
            </w:tcBorders>
            <w:shd w:val="clear" w:color="auto" w:fill="auto"/>
            <w:noWrap/>
            <w:vAlign w:val="bottom"/>
            <w:hideMark/>
          </w:tcPr>
          <w:p w14:paraId="48ED7C15"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684" w:type="dxa"/>
            <w:tcBorders>
              <w:top w:val="nil"/>
              <w:left w:val="nil"/>
              <w:bottom w:val="single" w:sz="4" w:space="0" w:color="auto"/>
              <w:right w:val="single" w:sz="4" w:space="0" w:color="auto"/>
            </w:tcBorders>
            <w:shd w:val="clear" w:color="auto" w:fill="auto"/>
            <w:noWrap/>
            <w:vAlign w:val="bottom"/>
            <w:hideMark/>
          </w:tcPr>
          <w:p w14:paraId="59BE156F"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176" w:type="dxa"/>
            <w:tcBorders>
              <w:top w:val="nil"/>
              <w:left w:val="nil"/>
              <w:bottom w:val="single" w:sz="4" w:space="0" w:color="auto"/>
              <w:right w:val="single" w:sz="4" w:space="0" w:color="auto"/>
            </w:tcBorders>
            <w:shd w:val="clear" w:color="auto" w:fill="auto"/>
            <w:noWrap/>
            <w:vAlign w:val="bottom"/>
            <w:hideMark/>
          </w:tcPr>
          <w:p w14:paraId="6C491B10"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4BA0298D"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r>
      <w:tr w:rsidR="00760877" w:rsidRPr="00070B6D" w14:paraId="1B857ECC" w14:textId="77777777" w:rsidTr="008A3C9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AE977C"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Year 2</w:t>
            </w:r>
          </w:p>
        </w:tc>
        <w:tc>
          <w:tcPr>
            <w:tcW w:w="1415" w:type="dxa"/>
            <w:tcBorders>
              <w:top w:val="nil"/>
              <w:left w:val="nil"/>
              <w:bottom w:val="single" w:sz="4" w:space="0" w:color="auto"/>
              <w:right w:val="single" w:sz="4" w:space="0" w:color="auto"/>
            </w:tcBorders>
            <w:shd w:val="clear" w:color="auto" w:fill="auto"/>
            <w:noWrap/>
            <w:vAlign w:val="bottom"/>
            <w:hideMark/>
          </w:tcPr>
          <w:p w14:paraId="3FF64970"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2285" w:type="dxa"/>
            <w:tcBorders>
              <w:top w:val="nil"/>
              <w:left w:val="nil"/>
              <w:bottom w:val="single" w:sz="4" w:space="0" w:color="auto"/>
              <w:right w:val="single" w:sz="4" w:space="0" w:color="auto"/>
            </w:tcBorders>
            <w:shd w:val="clear" w:color="auto" w:fill="auto"/>
            <w:noWrap/>
            <w:vAlign w:val="bottom"/>
            <w:hideMark/>
          </w:tcPr>
          <w:p w14:paraId="666C1BE9"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684" w:type="dxa"/>
            <w:tcBorders>
              <w:top w:val="nil"/>
              <w:left w:val="nil"/>
              <w:bottom w:val="single" w:sz="4" w:space="0" w:color="auto"/>
              <w:right w:val="single" w:sz="4" w:space="0" w:color="auto"/>
            </w:tcBorders>
            <w:shd w:val="clear" w:color="auto" w:fill="auto"/>
            <w:noWrap/>
            <w:vAlign w:val="bottom"/>
            <w:hideMark/>
          </w:tcPr>
          <w:p w14:paraId="5C77ABC2"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176" w:type="dxa"/>
            <w:tcBorders>
              <w:top w:val="nil"/>
              <w:left w:val="nil"/>
              <w:bottom w:val="single" w:sz="4" w:space="0" w:color="auto"/>
              <w:right w:val="single" w:sz="4" w:space="0" w:color="auto"/>
            </w:tcBorders>
            <w:shd w:val="clear" w:color="auto" w:fill="auto"/>
            <w:noWrap/>
            <w:vAlign w:val="bottom"/>
            <w:hideMark/>
          </w:tcPr>
          <w:p w14:paraId="760523D0"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3E3BE9CF"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r>
      <w:tr w:rsidR="00760877" w:rsidRPr="00070B6D" w14:paraId="6EFD86D9" w14:textId="77777777" w:rsidTr="008A3C9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B5E0E5B"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Year 3</w:t>
            </w:r>
          </w:p>
        </w:tc>
        <w:tc>
          <w:tcPr>
            <w:tcW w:w="1415" w:type="dxa"/>
            <w:tcBorders>
              <w:top w:val="nil"/>
              <w:left w:val="nil"/>
              <w:bottom w:val="single" w:sz="4" w:space="0" w:color="auto"/>
              <w:right w:val="single" w:sz="4" w:space="0" w:color="auto"/>
            </w:tcBorders>
            <w:shd w:val="clear" w:color="auto" w:fill="auto"/>
            <w:noWrap/>
            <w:vAlign w:val="bottom"/>
            <w:hideMark/>
          </w:tcPr>
          <w:p w14:paraId="1259A662"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2285" w:type="dxa"/>
            <w:tcBorders>
              <w:top w:val="nil"/>
              <w:left w:val="nil"/>
              <w:bottom w:val="single" w:sz="4" w:space="0" w:color="auto"/>
              <w:right w:val="single" w:sz="4" w:space="0" w:color="auto"/>
            </w:tcBorders>
            <w:shd w:val="clear" w:color="auto" w:fill="auto"/>
            <w:noWrap/>
            <w:vAlign w:val="bottom"/>
            <w:hideMark/>
          </w:tcPr>
          <w:p w14:paraId="1450B1AE"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684" w:type="dxa"/>
            <w:tcBorders>
              <w:top w:val="nil"/>
              <w:left w:val="nil"/>
              <w:bottom w:val="single" w:sz="4" w:space="0" w:color="auto"/>
              <w:right w:val="single" w:sz="4" w:space="0" w:color="auto"/>
            </w:tcBorders>
            <w:shd w:val="clear" w:color="auto" w:fill="auto"/>
            <w:noWrap/>
            <w:vAlign w:val="bottom"/>
            <w:hideMark/>
          </w:tcPr>
          <w:p w14:paraId="76BD1CE6"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176" w:type="dxa"/>
            <w:tcBorders>
              <w:top w:val="nil"/>
              <w:left w:val="nil"/>
              <w:bottom w:val="single" w:sz="4" w:space="0" w:color="auto"/>
              <w:right w:val="single" w:sz="4" w:space="0" w:color="auto"/>
            </w:tcBorders>
            <w:shd w:val="clear" w:color="auto" w:fill="auto"/>
            <w:noWrap/>
            <w:vAlign w:val="bottom"/>
            <w:hideMark/>
          </w:tcPr>
          <w:p w14:paraId="500AA8B4"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43F6D2B0"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r>
      <w:tr w:rsidR="00760877" w:rsidRPr="00070B6D" w14:paraId="717675E0" w14:textId="77777777" w:rsidTr="008A3C9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2B15AA"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Year 4</w:t>
            </w:r>
          </w:p>
        </w:tc>
        <w:tc>
          <w:tcPr>
            <w:tcW w:w="1415" w:type="dxa"/>
            <w:tcBorders>
              <w:top w:val="nil"/>
              <w:left w:val="nil"/>
              <w:bottom w:val="single" w:sz="4" w:space="0" w:color="auto"/>
              <w:right w:val="single" w:sz="4" w:space="0" w:color="auto"/>
            </w:tcBorders>
            <w:shd w:val="clear" w:color="auto" w:fill="auto"/>
            <w:noWrap/>
            <w:vAlign w:val="bottom"/>
            <w:hideMark/>
          </w:tcPr>
          <w:p w14:paraId="02EAE4B7"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2285" w:type="dxa"/>
            <w:tcBorders>
              <w:top w:val="nil"/>
              <w:left w:val="nil"/>
              <w:bottom w:val="single" w:sz="4" w:space="0" w:color="auto"/>
              <w:right w:val="single" w:sz="4" w:space="0" w:color="auto"/>
            </w:tcBorders>
            <w:shd w:val="clear" w:color="auto" w:fill="auto"/>
            <w:noWrap/>
            <w:vAlign w:val="bottom"/>
            <w:hideMark/>
          </w:tcPr>
          <w:p w14:paraId="0854FEAD"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684" w:type="dxa"/>
            <w:tcBorders>
              <w:top w:val="nil"/>
              <w:left w:val="nil"/>
              <w:bottom w:val="single" w:sz="4" w:space="0" w:color="auto"/>
              <w:right w:val="single" w:sz="4" w:space="0" w:color="auto"/>
            </w:tcBorders>
            <w:shd w:val="clear" w:color="auto" w:fill="auto"/>
            <w:noWrap/>
            <w:vAlign w:val="bottom"/>
            <w:hideMark/>
          </w:tcPr>
          <w:p w14:paraId="3FBADD2F"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176" w:type="dxa"/>
            <w:tcBorders>
              <w:top w:val="nil"/>
              <w:left w:val="nil"/>
              <w:bottom w:val="single" w:sz="4" w:space="0" w:color="auto"/>
              <w:right w:val="single" w:sz="4" w:space="0" w:color="auto"/>
            </w:tcBorders>
            <w:shd w:val="clear" w:color="auto" w:fill="auto"/>
            <w:noWrap/>
            <w:vAlign w:val="bottom"/>
            <w:hideMark/>
          </w:tcPr>
          <w:p w14:paraId="7EC43698"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486F50AA"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r>
      <w:tr w:rsidR="00760877" w:rsidRPr="00070B6D" w14:paraId="08E650E7" w14:textId="77777777" w:rsidTr="008A3C9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89516B2"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Year 5</w:t>
            </w:r>
          </w:p>
        </w:tc>
        <w:tc>
          <w:tcPr>
            <w:tcW w:w="1415" w:type="dxa"/>
            <w:tcBorders>
              <w:top w:val="nil"/>
              <w:left w:val="nil"/>
              <w:bottom w:val="single" w:sz="4" w:space="0" w:color="auto"/>
              <w:right w:val="single" w:sz="4" w:space="0" w:color="auto"/>
            </w:tcBorders>
            <w:shd w:val="clear" w:color="auto" w:fill="auto"/>
            <w:noWrap/>
            <w:vAlign w:val="bottom"/>
            <w:hideMark/>
          </w:tcPr>
          <w:p w14:paraId="3A94A27A"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2285" w:type="dxa"/>
            <w:tcBorders>
              <w:top w:val="nil"/>
              <w:left w:val="nil"/>
              <w:bottom w:val="single" w:sz="4" w:space="0" w:color="auto"/>
              <w:right w:val="single" w:sz="4" w:space="0" w:color="auto"/>
            </w:tcBorders>
            <w:shd w:val="clear" w:color="auto" w:fill="auto"/>
            <w:noWrap/>
            <w:vAlign w:val="bottom"/>
            <w:hideMark/>
          </w:tcPr>
          <w:p w14:paraId="7329E6CD"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684" w:type="dxa"/>
            <w:tcBorders>
              <w:top w:val="nil"/>
              <w:left w:val="nil"/>
              <w:bottom w:val="single" w:sz="4" w:space="0" w:color="auto"/>
              <w:right w:val="single" w:sz="4" w:space="0" w:color="auto"/>
            </w:tcBorders>
            <w:shd w:val="clear" w:color="auto" w:fill="auto"/>
            <w:noWrap/>
            <w:vAlign w:val="bottom"/>
            <w:hideMark/>
          </w:tcPr>
          <w:p w14:paraId="2988476D"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176" w:type="dxa"/>
            <w:tcBorders>
              <w:top w:val="nil"/>
              <w:left w:val="nil"/>
              <w:bottom w:val="single" w:sz="4" w:space="0" w:color="auto"/>
              <w:right w:val="single" w:sz="4" w:space="0" w:color="auto"/>
            </w:tcBorders>
            <w:shd w:val="clear" w:color="auto" w:fill="auto"/>
            <w:noWrap/>
            <w:vAlign w:val="bottom"/>
            <w:hideMark/>
          </w:tcPr>
          <w:p w14:paraId="6C28EB4C"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78D7C67B" w14:textId="77777777" w:rsidR="00760877" w:rsidRPr="00070B6D" w:rsidRDefault="00760877" w:rsidP="00760877">
            <w:pPr>
              <w:jc w:val="center"/>
              <w:rPr>
                <w:rFonts w:ascii="Verdana" w:hAnsi="Verdana"/>
                <w:color w:val="000000"/>
                <w:szCs w:val="22"/>
                <w:lang w:eastAsia="en-GB"/>
              </w:rPr>
            </w:pPr>
            <w:r w:rsidRPr="00070B6D">
              <w:rPr>
                <w:rFonts w:ascii="Verdana" w:hAnsi="Verdana"/>
                <w:color w:val="000000"/>
                <w:szCs w:val="22"/>
                <w:lang w:eastAsia="en-GB"/>
              </w:rPr>
              <w:t>£0</w:t>
            </w:r>
          </w:p>
        </w:tc>
      </w:tr>
      <w:tr w:rsidR="00760877" w:rsidRPr="00070B6D" w14:paraId="0948857D" w14:textId="77777777" w:rsidTr="008A3C97">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BA56E8"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 xml:space="preserve">All years </w:t>
            </w:r>
          </w:p>
        </w:tc>
        <w:tc>
          <w:tcPr>
            <w:tcW w:w="1415" w:type="dxa"/>
            <w:tcBorders>
              <w:top w:val="nil"/>
              <w:left w:val="nil"/>
              <w:bottom w:val="single" w:sz="4" w:space="0" w:color="auto"/>
              <w:right w:val="single" w:sz="4" w:space="0" w:color="auto"/>
            </w:tcBorders>
            <w:shd w:val="clear" w:color="auto" w:fill="auto"/>
            <w:noWrap/>
            <w:vAlign w:val="bottom"/>
            <w:hideMark/>
          </w:tcPr>
          <w:p w14:paraId="35A4C378"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£0</w:t>
            </w:r>
          </w:p>
        </w:tc>
        <w:tc>
          <w:tcPr>
            <w:tcW w:w="2285" w:type="dxa"/>
            <w:tcBorders>
              <w:top w:val="nil"/>
              <w:left w:val="nil"/>
              <w:bottom w:val="single" w:sz="4" w:space="0" w:color="auto"/>
              <w:right w:val="single" w:sz="4" w:space="0" w:color="auto"/>
            </w:tcBorders>
            <w:shd w:val="clear" w:color="auto" w:fill="auto"/>
            <w:noWrap/>
            <w:vAlign w:val="bottom"/>
            <w:hideMark/>
          </w:tcPr>
          <w:p w14:paraId="0CEBAD7C"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£0</w:t>
            </w:r>
          </w:p>
        </w:tc>
        <w:tc>
          <w:tcPr>
            <w:tcW w:w="1684" w:type="dxa"/>
            <w:tcBorders>
              <w:top w:val="nil"/>
              <w:left w:val="nil"/>
              <w:bottom w:val="single" w:sz="4" w:space="0" w:color="auto"/>
              <w:right w:val="single" w:sz="4" w:space="0" w:color="auto"/>
            </w:tcBorders>
            <w:shd w:val="clear" w:color="auto" w:fill="auto"/>
            <w:noWrap/>
            <w:vAlign w:val="bottom"/>
            <w:hideMark/>
          </w:tcPr>
          <w:p w14:paraId="486B2E2F"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£0</w:t>
            </w:r>
          </w:p>
        </w:tc>
        <w:tc>
          <w:tcPr>
            <w:tcW w:w="1176" w:type="dxa"/>
            <w:tcBorders>
              <w:top w:val="nil"/>
              <w:left w:val="nil"/>
              <w:bottom w:val="single" w:sz="4" w:space="0" w:color="auto"/>
              <w:right w:val="single" w:sz="4" w:space="0" w:color="auto"/>
            </w:tcBorders>
            <w:shd w:val="clear" w:color="auto" w:fill="auto"/>
            <w:noWrap/>
            <w:vAlign w:val="bottom"/>
            <w:hideMark/>
          </w:tcPr>
          <w:p w14:paraId="52D7AD7F"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£0</w:t>
            </w:r>
          </w:p>
        </w:tc>
        <w:tc>
          <w:tcPr>
            <w:tcW w:w="1340" w:type="dxa"/>
            <w:tcBorders>
              <w:top w:val="nil"/>
              <w:left w:val="nil"/>
              <w:bottom w:val="single" w:sz="4" w:space="0" w:color="auto"/>
              <w:right w:val="single" w:sz="4" w:space="0" w:color="auto"/>
            </w:tcBorders>
            <w:shd w:val="clear" w:color="auto" w:fill="auto"/>
            <w:noWrap/>
            <w:vAlign w:val="bottom"/>
            <w:hideMark/>
          </w:tcPr>
          <w:p w14:paraId="3727B49C" w14:textId="77777777" w:rsidR="00760877" w:rsidRPr="00070B6D" w:rsidRDefault="00760877" w:rsidP="00760877">
            <w:pPr>
              <w:jc w:val="center"/>
              <w:rPr>
                <w:rFonts w:ascii="Verdana" w:hAnsi="Verdana"/>
                <w:b/>
                <w:bCs/>
                <w:color w:val="000000"/>
                <w:szCs w:val="22"/>
                <w:lang w:eastAsia="en-GB"/>
              </w:rPr>
            </w:pPr>
            <w:r w:rsidRPr="00070B6D">
              <w:rPr>
                <w:rFonts w:ascii="Verdana" w:hAnsi="Verdana"/>
                <w:b/>
                <w:bCs/>
                <w:color w:val="000000"/>
                <w:szCs w:val="22"/>
                <w:lang w:eastAsia="en-GB"/>
              </w:rPr>
              <w:t>£0</w:t>
            </w:r>
          </w:p>
        </w:tc>
      </w:tr>
    </w:tbl>
    <w:p w14:paraId="2FBE9140" w14:textId="77777777" w:rsidR="00760877" w:rsidRDefault="00760877" w:rsidP="00760877">
      <w:pPr>
        <w:spacing w:after="120"/>
        <w:rPr>
          <w:rFonts w:ascii="Verdana" w:hAnsi="Verdana" w:cs="Arial"/>
          <w:b/>
          <w:szCs w:val="22"/>
        </w:rPr>
      </w:pPr>
      <w:r w:rsidRPr="0067672F">
        <w:rPr>
          <w:rFonts w:ascii="Verdana" w:hAnsi="Verdana" w:cs="Arial"/>
          <w:b/>
          <w:szCs w:val="22"/>
        </w:rPr>
        <w:t xml:space="preserve">[may not need to include all columns here e.g. </w:t>
      </w:r>
      <w:r>
        <w:rPr>
          <w:rFonts w:ascii="Verdana" w:hAnsi="Verdana" w:cs="Arial"/>
          <w:b/>
          <w:szCs w:val="22"/>
        </w:rPr>
        <w:t xml:space="preserve">training or </w:t>
      </w:r>
      <w:r w:rsidRPr="0067672F">
        <w:rPr>
          <w:rFonts w:ascii="Verdana" w:hAnsi="Verdana" w:cs="Arial"/>
          <w:b/>
          <w:szCs w:val="22"/>
        </w:rPr>
        <w:t>DXA if not paid at tariff].</w:t>
      </w:r>
      <w:r>
        <w:rPr>
          <w:rFonts w:ascii="Verdana" w:hAnsi="Verdana" w:cs="Arial"/>
          <w:b/>
          <w:szCs w:val="22"/>
        </w:rPr>
        <w:t xml:space="preserve"> </w:t>
      </w:r>
    </w:p>
    <w:p w14:paraId="762AD5AB" w14:textId="77777777" w:rsidR="00BB5763" w:rsidRDefault="00760877" w:rsidP="00760877">
      <w:pPr>
        <w:spacing w:after="120"/>
        <w:rPr>
          <w:rFonts w:ascii="Verdana" w:hAnsi="Verdana" w:cs="Arial"/>
          <w:b/>
          <w:szCs w:val="22"/>
          <w:u w:val="single"/>
        </w:rPr>
      </w:pPr>
      <w:r w:rsidRPr="0067672F">
        <w:rPr>
          <w:rFonts w:ascii="Verdana" w:hAnsi="Verdana" w:cs="Arial"/>
          <w:b/>
          <w:szCs w:val="22"/>
          <w:u w:val="single"/>
        </w:rPr>
        <w:t>Net Benefits:</w:t>
      </w:r>
      <w:r w:rsidR="007D4C4C">
        <w:rPr>
          <w:rFonts w:ascii="Verdana" w:hAnsi="Verdana" w:cs="Arial"/>
          <w:b/>
          <w:szCs w:val="22"/>
          <w:u w:val="single"/>
        </w:rPr>
        <w:t xml:space="preserve"> </w:t>
      </w:r>
    </w:p>
    <w:p w14:paraId="206B6F68" w14:textId="369B12BE" w:rsidR="00760877" w:rsidRPr="006D09E0" w:rsidRDefault="00760877" w:rsidP="00760877">
      <w:pPr>
        <w:spacing w:after="120"/>
        <w:rPr>
          <w:rFonts w:ascii="Verdana" w:hAnsi="Verdana" w:cs="Arial"/>
          <w:szCs w:val="22"/>
        </w:rPr>
      </w:pPr>
      <w:r w:rsidRPr="006D09E0">
        <w:rPr>
          <w:rFonts w:ascii="Verdana" w:hAnsi="Verdana" w:cs="Arial"/>
          <w:szCs w:val="22"/>
        </w:rPr>
        <w:t>The net benefits of</w:t>
      </w:r>
      <w:r>
        <w:rPr>
          <w:rFonts w:ascii="Verdana" w:hAnsi="Verdana" w:cs="Arial"/>
          <w:szCs w:val="22"/>
        </w:rPr>
        <w:t xml:space="preserve"> having an FLS</w:t>
      </w:r>
      <w:r w:rsidRPr="006D09E0">
        <w:rPr>
          <w:rFonts w:ascii="Verdana" w:hAnsi="Verdana" w:cs="Arial"/>
          <w:szCs w:val="22"/>
        </w:rPr>
        <w:t xml:space="preserve"> in place at</w:t>
      </w:r>
      <w:r w:rsidRPr="006D09E0">
        <w:rPr>
          <w:rFonts w:ascii="Verdana" w:hAnsi="Verdana" w:cs="Arial"/>
          <w:b/>
          <w:szCs w:val="22"/>
        </w:rPr>
        <w:t xml:space="preserve"> [insert name of organisation] </w:t>
      </w:r>
      <w:r w:rsidRPr="006D09E0">
        <w:rPr>
          <w:rFonts w:ascii="Verdana" w:hAnsi="Verdana" w:cs="Arial"/>
          <w:szCs w:val="22"/>
        </w:rPr>
        <w:t>can be seen in the tables below:</w:t>
      </w:r>
    </w:p>
    <w:p w14:paraId="3DB13F73" w14:textId="65C470FF" w:rsidR="00760877" w:rsidRPr="006D09E0" w:rsidRDefault="00760877" w:rsidP="00760877">
      <w:pPr>
        <w:spacing w:after="120"/>
        <w:rPr>
          <w:rFonts w:ascii="Verdana" w:hAnsi="Verdana" w:cs="Arial"/>
          <w:b/>
          <w:szCs w:val="22"/>
        </w:rPr>
      </w:pPr>
      <w:r w:rsidRPr="006D09E0">
        <w:rPr>
          <w:rFonts w:ascii="Verdana" w:hAnsi="Verdana" w:cs="Arial"/>
          <w:b/>
          <w:szCs w:val="22"/>
        </w:rPr>
        <w:t>[</w:t>
      </w:r>
      <w:r w:rsidR="00A76097">
        <w:rPr>
          <w:rFonts w:ascii="Verdana" w:hAnsi="Verdana" w:cs="Arial"/>
          <w:b/>
          <w:szCs w:val="22"/>
        </w:rPr>
        <w:t>the ROS can help you populate these tables]</w:t>
      </w:r>
    </w:p>
    <w:tbl>
      <w:tblPr>
        <w:tblW w:w="9689" w:type="dxa"/>
        <w:tblLook w:val="04A0" w:firstRow="1" w:lastRow="0" w:firstColumn="1" w:lastColumn="0" w:noHBand="0" w:noVBand="1"/>
      </w:tblPr>
      <w:tblGrid>
        <w:gridCol w:w="2579"/>
        <w:gridCol w:w="2350"/>
        <w:gridCol w:w="2821"/>
        <w:gridCol w:w="1939"/>
      </w:tblGrid>
      <w:tr w:rsidR="00760877" w:rsidRPr="006D09E0" w14:paraId="70D7AD50" w14:textId="77777777" w:rsidTr="008A3C97">
        <w:trPr>
          <w:trHeight w:val="384"/>
        </w:trPr>
        <w:tc>
          <w:tcPr>
            <w:tcW w:w="2579" w:type="dxa"/>
            <w:tcBorders>
              <w:right w:val="single" w:sz="4" w:space="0" w:color="auto"/>
            </w:tcBorders>
            <w:shd w:val="clear" w:color="auto" w:fill="auto"/>
            <w:vAlign w:val="bottom"/>
            <w:hideMark/>
          </w:tcPr>
          <w:p w14:paraId="53DBFED6" w14:textId="77777777" w:rsidR="00760877" w:rsidRPr="006D09E0" w:rsidRDefault="00760877" w:rsidP="00760877">
            <w:pPr>
              <w:rPr>
                <w:rFonts w:ascii="Verdana" w:hAnsi="Verdana"/>
                <w:color w:val="000000"/>
                <w:szCs w:val="22"/>
                <w:lang w:eastAsia="en-GB"/>
              </w:rPr>
            </w:pPr>
            <w:r w:rsidRPr="006D09E0">
              <w:rPr>
                <w:rFonts w:ascii="Verdana" w:hAnsi="Verdana"/>
                <w:color w:val="000000"/>
                <w:szCs w:val="22"/>
                <w:lang w:eastAsia="en-GB"/>
              </w:rPr>
              <w:t> </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C2C56"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Costs</w:t>
            </w:r>
          </w:p>
        </w:tc>
        <w:tc>
          <w:tcPr>
            <w:tcW w:w="28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CDBBDA"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 xml:space="preserve">Benefits </w:t>
            </w:r>
            <w:r w:rsidRPr="006D09E0">
              <w:rPr>
                <w:rFonts w:ascii="Verdana" w:hAnsi="Verdana"/>
                <w:b/>
                <w:bCs/>
                <w:color w:val="000000"/>
                <w:szCs w:val="22"/>
                <w:lang w:eastAsia="en-GB"/>
              </w:rPr>
              <w:br/>
              <w:t xml:space="preserve">(NHS </w:t>
            </w:r>
            <w:r>
              <w:rPr>
                <w:rFonts w:ascii="Verdana" w:hAnsi="Verdana"/>
                <w:b/>
                <w:bCs/>
                <w:color w:val="000000"/>
                <w:szCs w:val="22"/>
                <w:lang w:eastAsia="en-GB"/>
              </w:rPr>
              <w:t>&amp;</w:t>
            </w:r>
            <w:r w:rsidRPr="006D09E0">
              <w:rPr>
                <w:rFonts w:ascii="Verdana" w:hAnsi="Verdana"/>
                <w:b/>
                <w:bCs/>
                <w:color w:val="000000"/>
                <w:szCs w:val="22"/>
                <w:lang w:eastAsia="en-GB"/>
              </w:rPr>
              <w:t xml:space="preserve"> social care)</w:t>
            </w:r>
          </w:p>
        </w:tc>
        <w:tc>
          <w:tcPr>
            <w:tcW w:w="19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AC8784"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Difference</w:t>
            </w:r>
          </w:p>
        </w:tc>
      </w:tr>
      <w:tr w:rsidR="00760877" w:rsidRPr="006D09E0" w14:paraId="32FE257D" w14:textId="77777777" w:rsidTr="008A3C97">
        <w:trPr>
          <w:trHeight w:val="191"/>
        </w:trPr>
        <w:tc>
          <w:tcPr>
            <w:tcW w:w="2579" w:type="dxa"/>
            <w:tcBorders>
              <w:top w:val="nil"/>
              <w:right w:val="single" w:sz="4" w:space="0" w:color="auto"/>
            </w:tcBorders>
            <w:shd w:val="clear" w:color="auto" w:fill="auto"/>
            <w:noWrap/>
            <w:vAlign w:val="bottom"/>
            <w:hideMark/>
          </w:tcPr>
          <w:p w14:paraId="1D20D884"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1</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101EFC93"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0FCC44DC"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2A7A5AE7" w14:textId="77777777" w:rsidR="00760877" w:rsidRPr="00E439CE" w:rsidRDefault="00760877" w:rsidP="00760877">
            <w:pPr>
              <w:jc w:val="center"/>
              <w:rPr>
                <w:rFonts w:ascii="Verdana" w:hAnsi="Verdana"/>
                <w:b/>
                <w:color w:val="000000"/>
                <w:szCs w:val="22"/>
                <w:lang w:eastAsia="en-GB"/>
              </w:rPr>
            </w:pPr>
          </w:p>
        </w:tc>
      </w:tr>
      <w:tr w:rsidR="00760877" w:rsidRPr="006D09E0" w14:paraId="3E6A2FF1" w14:textId="77777777" w:rsidTr="008A3C97">
        <w:trPr>
          <w:trHeight w:val="191"/>
        </w:trPr>
        <w:tc>
          <w:tcPr>
            <w:tcW w:w="2579" w:type="dxa"/>
            <w:tcBorders>
              <w:top w:val="nil"/>
              <w:right w:val="single" w:sz="4" w:space="0" w:color="auto"/>
            </w:tcBorders>
            <w:shd w:val="clear" w:color="auto" w:fill="auto"/>
            <w:noWrap/>
            <w:vAlign w:val="bottom"/>
            <w:hideMark/>
          </w:tcPr>
          <w:p w14:paraId="5AF0F085"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2</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6847FC6D"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2CABC0D5"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5411800C" w14:textId="77777777" w:rsidR="00760877" w:rsidRPr="00E439CE" w:rsidRDefault="00760877" w:rsidP="00760877">
            <w:pPr>
              <w:jc w:val="center"/>
              <w:rPr>
                <w:rFonts w:ascii="Verdana" w:hAnsi="Verdana"/>
                <w:b/>
                <w:color w:val="000000"/>
                <w:szCs w:val="22"/>
                <w:lang w:eastAsia="en-GB"/>
              </w:rPr>
            </w:pPr>
          </w:p>
        </w:tc>
      </w:tr>
      <w:tr w:rsidR="00760877" w:rsidRPr="006D09E0" w14:paraId="4746C00F" w14:textId="77777777" w:rsidTr="008A3C97">
        <w:trPr>
          <w:trHeight w:val="191"/>
        </w:trPr>
        <w:tc>
          <w:tcPr>
            <w:tcW w:w="2579" w:type="dxa"/>
            <w:tcBorders>
              <w:top w:val="nil"/>
              <w:right w:val="single" w:sz="4" w:space="0" w:color="auto"/>
            </w:tcBorders>
            <w:shd w:val="clear" w:color="auto" w:fill="auto"/>
            <w:noWrap/>
            <w:vAlign w:val="bottom"/>
            <w:hideMark/>
          </w:tcPr>
          <w:p w14:paraId="0ABDF364"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3</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342EF7B4"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08E18CF6"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4FE9614E" w14:textId="77777777" w:rsidR="00760877" w:rsidRPr="00E439CE" w:rsidRDefault="00760877" w:rsidP="00760877">
            <w:pPr>
              <w:jc w:val="center"/>
              <w:rPr>
                <w:rFonts w:ascii="Verdana" w:hAnsi="Verdana"/>
                <w:b/>
                <w:color w:val="000000"/>
                <w:szCs w:val="22"/>
                <w:lang w:eastAsia="en-GB"/>
              </w:rPr>
            </w:pPr>
          </w:p>
        </w:tc>
      </w:tr>
      <w:tr w:rsidR="00760877" w:rsidRPr="006D09E0" w14:paraId="45F278B9" w14:textId="77777777" w:rsidTr="008A3C97">
        <w:trPr>
          <w:trHeight w:val="191"/>
        </w:trPr>
        <w:tc>
          <w:tcPr>
            <w:tcW w:w="2579" w:type="dxa"/>
            <w:tcBorders>
              <w:top w:val="nil"/>
              <w:right w:val="single" w:sz="4" w:space="0" w:color="auto"/>
            </w:tcBorders>
            <w:shd w:val="clear" w:color="auto" w:fill="auto"/>
            <w:noWrap/>
            <w:vAlign w:val="bottom"/>
            <w:hideMark/>
          </w:tcPr>
          <w:p w14:paraId="0042C74F"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4</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1CE4DC98"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12EF8439"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09B027C5" w14:textId="77777777" w:rsidR="00760877" w:rsidRPr="00E439CE" w:rsidRDefault="00760877" w:rsidP="00760877">
            <w:pPr>
              <w:jc w:val="center"/>
              <w:rPr>
                <w:rFonts w:ascii="Verdana" w:hAnsi="Verdana"/>
                <w:b/>
                <w:color w:val="000000"/>
                <w:szCs w:val="22"/>
                <w:lang w:eastAsia="en-GB"/>
              </w:rPr>
            </w:pPr>
          </w:p>
        </w:tc>
      </w:tr>
      <w:tr w:rsidR="00760877" w:rsidRPr="006D09E0" w14:paraId="7C6A2188" w14:textId="77777777" w:rsidTr="008A3C97">
        <w:trPr>
          <w:trHeight w:val="191"/>
        </w:trPr>
        <w:tc>
          <w:tcPr>
            <w:tcW w:w="2579" w:type="dxa"/>
            <w:tcBorders>
              <w:top w:val="nil"/>
              <w:right w:val="single" w:sz="4" w:space="0" w:color="auto"/>
            </w:tcBorders>
            <w:shd w:val="clear" w:color="auto" w:fill="auto"/>
            <w:noWrap/>
            <w:vAlign w:val="bottom"/>
            <w:hideMark/>
          </w:tcPr>
          <w:p w14:paraId="020E27FA"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5</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74206255"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19693FC9"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75C0B199" w14:textId="77777777" w:rsidR="00760877" w:rsidRPr="00E439CE" w:rsidRDefault="00760877" w:rsidP="00760877">
            <w:pPr>
              <w:jc w:val="center"/>
              <w:rPr>
                <w:rFonts w:ascii="Verdana" w:hAnsi="Verdana"/>
                <w:b/>
                <w:color w:val="000000"/>
                <w:szCs w:val="22"/>
                <w:lang w:eastAsia="en-GB"/>
              </w:rPr>
            </w:pPr>
          </w:p>
        </w:tc>
      </w:tr>
      <w:tr w:rsidR="00760877" w:rsidRPr="006D09E0" w14:paraId="4E6DE88E" w14:textId="77777777" w:rsidTr="008A3C97">
        <w:trPr>
          <w:trHeight w:val="191"/>
        </w:trPr>
        <w:tc>
          <w:tcPr>
            <w:tcW w:w="2579" w:type="dxa"/>
            <w:tcBorders>
              <w:top w:val="nil"/>
              <w:right w:val="single" w:sz="4" w:space="0" w:color="auto"/>
            </w:tcBorders>
            <w:shd w:val="clear" w:color="auto" w:fill="auto"/>
            <w:noWrap/>
            <w:vAlign w:val="bottom"/>
            <w:hideMark/>
          </w:tcPr>
          <w:p w14:paraId="0E954E6D"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 xml:space="preserve">All years </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10EE745B" w14:textId="77777777" w:rsidR="00760877" w:rsidRPr="006D09E0" w:rsidRDefault="00760877" w:rsidP="00760877">
            <w:pPr>
              <w:jc w:val="center"/>
              <w:rPr>
                <w:rFonts w:ascii="Verdana" w:hAnsi="Verdana"/>
                <w:b/>
                <w:bCs/>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26F288D9" w14:textId="77777777" w:rsidR="00760877" w:rsidRPr="006D09E0" w:rsidRDefault="00760877" w:rsidP="00760877">
            <w:pPr>
              <w:jc w:val="center"/>
              <w:rPr>
                <w:rFonts w:ascii="Verdana" w:hAnsi="Verdana"/>
                <w:b/>
                <w:bCs/>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4178B2BE" w14:textId="77777777" w:rsidR="00760877" w:rsidRPr="006D09E0" w:rsidRDefault="00760877" w:rsidP="00760877">
            <w:pPr>
              <w:jc w:val="center"/>
              <w:rPr>
                <w:rFonts w:ascii="Verdana" w:hAnsi="Verdana"/>
                <w:b/>
                <w:bCs/>
                <w:color w:val="000000"/>
                <w:szCs w:val="22"/>
                <w:lang w:eastAsia="en-GB"/>
              </w:rPr>
            </w:pPr>
          </w:p>
        </w:tc>
      </w:tr>
      <w:tr w:rsidR="00760877" w:rsidRPr="006D09E0" w14:paraId="15D685F6" w14:textId="77777777" w:rsidTr="008A3C97">
        <w:trPr>
          <w:trHeight w:val="191"/>
        </w:trPr>
        <w:tc>
          <w:tcPr>
            <w:tcW w:w="2579" w:type="dxa"/>
            <w:tcBorders>
              <w:top w:val="nil"/>
              <w:left w:val="nil"/>
              <w:bottom w:val="nil"/>
            </w:tcBorders>
            <w:shd w:val="clear" w:color="auto" w:fill="auto"/>
            <w:noWrap/>
            <w:vAlign w:val="bottom"/>
            <w:hideMark/>
          </w:tcPr>
          <w:p w14:paraId="697F7F01" w14:textId="77777777" w:rsidR="00760877" w:rsidRPr="006D09E0" w:rsidRDefault="00760877" w:rsidP="00760877">
            <w:pPr>
              <w:rPr>
                <w:rFonts w:ascii="Verdana" w:hAnsi="Verdana"/>
                <w:b/>
                <w:bCs/>
                <w:color w:val="000000"/>
                <w:szCs w:val="22"/>
                <w:lang w:eastAsia="en-GB"/>
              </w:rPr>
            </w:pPr>
          </w:p>
        </w:tc>
        <w:tc>
          <w:tcPr>
            <w:tcW w:w="2350" w:type="dxa"/>
            <w:tcBorders>
              <w:top w:val="single" w:sz="4" w:space="0" w:color="auto"/>
              <w:bottom w:val="nil"/>
              <w:right w:val="nil"/>
            </w:tcBorders>
            <w:shd w:val="clear" w:color="auto" w:fill="auto"/>
            <w:noWrap/>
            <w:vAlign w:val="bottom"/>
            <w:hideMark/>
          </w:tcPr>
          <w:p w14:paraId="5B382706" w14:textId="77777777" w:rsidR="00760877" w:rsidRPr="006D09E0" w:rsidRDefault="00760877" w:rsidP="00760877">
            <w:pPr>
              <w:jc w:val="center"/>
              <w:rPr>
                <w:rFonts w:ascii="Verdana" w:hAnsi="Verdana"/>
                <w:sz w:val="20"/>
                <w:szCs w:val="20"/>
                <w:lang w:eastAsia="en-GB"/>
              </w:rPr>
            </w:pPr>
          </w:p>
        </w:tc>
        <w:tc>
          <w:tcPr>
            <w:tcW w:w="2821" w:type="dxa"/>
            <w:tcBorders>
              <w:top w:val="nil"/>
              <w:left w:val="nil"/>
              <w:bottom w:val="nil"/>
              <w:right w:val="nil"/>
            </w:tcBorders>
            <w:shd w:val="clear" w:color="auto" w:fill="auto"/>
            <w:noWrap/>
            <w:vAlign w:val="bottom"/>
            <w:hideMark/>
          </w:tcPr>
          <w:p w14:paraId="143DECF8" w14:textId="77777777" w:rsidR="00760877" w:rsidRPr="006D09E0" w:rsidRDefault="00760877" w:rsidP="00760877">
            <w:pPr>
              <w:rPr>
                <w:rFonts w:ascii="Verdana" w:hAnsi="Verdana"/>
                <w:sz w:val="20"/>
                <w:szCs w:val="20"/>
                <w:lang w:eastAsia="en-GB"/>
              </w:rPr>
            </w:pPr>
          </w:p>
        </w:tc>
        <w:tc>
          <w:tcPr>
            <w:tcW w:w="1939" w:type="dxa"/>
            <w:tcBorders>
              <w:top w:val="nil"/>
              <w:left w:val="nil"/>
              <w:bottom w:val="nil"/>
              <w:right w:val="nil"/>
            </w:tcBorders>
            <w:shd w:val="clear" w:color="auto" w:fill="auto"/>
            <w:noWrap/>
            <w:vAlign w:val="bottom"/>
            <w:hideMark/>
          </w:tcPr>
          <w:p w14:paraId="26B8AD21" w14:textId="77777777" w:rsidR="00760877" w:rsidRPr="006D09E0" w:rsidRDefault="00760877" w:rsidP="00760877">
            <w:pPr>
              <w:rPr>
                <w:rFonts w:ascii="Verdana" w:hAnsi="Verdana"/>
                <w:sz w:val="20"/>
                <w:szCs w:val="20"/>
                <w:lang w:eastAsia="en-GB"/>
              </w:rPr>
            </w:pPr>
          </w:p>
        </w:tc>
      </w:tr>
      <w:tr w:rsidR="00760877" w:rsidRPr="006D09E0" w14:paraId="0DA28FE5" w14:textId="77777777" w:rsidTr="008A3C97">
        <w:trPr>
          <w:trHeight w:val="191"/>
        </w:trPr>
        <w:tc>
          <w:tcPr>
            <w:tcW w:w="2579" w:type="dxa"/>
            <w:tcBorders>
              <w:top w:val="nil"/>
              <w:left w:val="nil"/>
              <w:bottom w:val="nil"/>
            </w:tcBorders>
            <w:shd w:val="clear" w:color="auto" w:fill="auto"/>
            <w:noWrap/>
            <w:vAlign w:val="bottom"/>
            <w:hideMark/>
          </w:tcPr>
          <w:p w14:paraId="61DDDFF8" w14:textId="77777777" w:rsidR="00760877" w:rsidRPr="006D09E0" w:rsidRDefault="00760877" w:rsidP="00760877">
            <w:pPr>
              <w:rPr>
                <w:rFonts w:ascii="Verdana" w:hAnsi="Verdana"/>
                <w:sz w:val="20"/>
                <w:szCs w:val="20"/>
                <w:lang w:eastAsia="en-GB"/>
              </w:rPr>
            </w:pPr>
          </w:p>
        </w:tc>
        <w:tc>
          <w:tcPr>
            <w:tcW w:w="2350" w:type="dxa"/>
            <w:tcBorders>
              <w:top w:val="nil"/>
              <w:bottom w:val="single" w:sz="4" w:space="0" w:color="auto"/>
              <w:right w:val="nil"/>
            </w:tcBorders>
            <w:shd w:val="clear" w:color="auto" w:fill="auto"/>
            <w:noWrap/>
            <w:vAlign w:val="bottom"/>
            <w:hideMark/>
          </w:tcPr>
          <w:p w14:paraId="17E61060" w14:textId="77777777" w:rsidR="00760877" w:rsidRPr="006D09E0" w:rsidRDefault="00760877" w:rsidP="00760877">
            <w:pPr>
              <w:jc w:val="center"/>
              <w:rPr>
                <w:rFonts w:ascii="Verdana" w:hAnsi="Verdana"/>
                <w:sz w:val="20"/>
                <w:szCs w:val="20"/>
                <w:lang w:eastAsia="en-GB"/>
              </w:rPr>
            </w:pPr>
          </w:p>
        </w:tc>
        <w:tc>
          <w:tcPr>
            <w:tcW w:w="2821" w:type="dxa"/>
            <w:tcBorders>
              <w:top w:val="nil"/>
              <w:left w:val="nil"/>
              <w:bottom w:val="nil"/>
              <w:right w:val="nil"/>
            </w:tcBorders>
            <w:shd w:val="clear" w:color="auto" w:fill="auto"/>
            <w:noWrap/>
            <w:vAlign w:val="bottom"/>
            <w:hideMark/>
          </w:tcPr>
          <w:p w14:paraId="700F0033" w14:textId="77777777" w:rsidR="00760877" w:rsidRPr="006D09E0" w:rsidRDefault="00760877" w:rsidP="00760877">
            <w:pPr>
              <w:rPr>
                <w:rFonts w:ascii="Verdana" w:hAnsi="Verdana"/>
                <w:sz w:val="20"/>
                <w:szCs w:val="20"/>
                <w:lang w:eastAsia="en-GB"/>
              </w:rPr>
            </w:pPr>
          </w:p>
        </w:tc>
        <w:tc>
          <w:tcPr>
            <w:tcW w:w="1939" w:type="dxa"/>
            <w:tcBorders>
              <w:top w:val="nil"/>
              <w:left w:val="nil"/>
              <w:bottom w:val="nil"/>
              <w:right w:val="nil"/>
            </w:tcBorders>
            <w:shd w:val="clear" w:color="auto" w:fill="auto"/>
            <w:noWrap/>
            <w:vAlign w:val="bottom"/>
            <w:hideMark/>
          </w:tcPr>
          <w:p w14:paraId="0A878FC1" w14:textId="77777777" w:rsidR="00760877" w:rsidRPr="006D09E0" w:rsidRDefault="00760877" w:rsidP="00760877">
            <w:pPr>
              <w:rPr>
                <w:rFonts w:ascii="Verdana" w:hAnsi="Verdana"/>
                <w:sz w:val="20"/>
                <w:szCs w:val="20"/>
                <w:lang w:eastAsia="en-GB"/>
              </w:rPr>
            </w:pPr>
          </w:p>
        </w:tc>
      </w:tr>
      <w:tr w:rsidR="00760877" w:rsidRPr="006D09E0" w14:paraId="2BC5262B" w14:textId="77777777" w:rsidTr="008A3C97">
        <w:trPr>
          <w:trHeight w:val="384"/>
        </w:trPr>
        <w:tc>
          <w:tcPr>
            <w:tcW w:w="2579" w:type="dxa"/>
            <w:tcBorders>
              <w:right w:val="single" w:sz="4" w:space="0" w:color="auto"/>
            </w:tcBorders>
            <w:shd w:val="clear" w:color="auto" w:fill="auto"/>
            <w:vAlign w:val="bottom"/>
            <w:hideMark/>
          </w:tcPr>
          <w:p w14:paraId="3077012F" w14:textId="77777777" w:rsidR="00760877" w:rsidRPr="006D09E0" w:rsidRDefault="00760877" w:rsidP="00760877">
            <w:pPr>
              <w:jc w:val="center"/>
              <w:rPr>
                <w:rFonts w:ascii="Verdana" w:hAnsi="Verdana"/>
                <w:color w:val="000000"/>
                <w:szCs w:val="22"/>
                <w:lang w:eastAsia="en-GB"/>
              </w:rPr>
            </w:pPr>
            <w:r w:rsidRPr="006D09E0">
              <w:rPr>
                <w:rFonts w:ascii="Verdana" w:hAnsi="Verdana"/>
                <w:color w:val="000000"/>
                <w:szCs w:val="22"/>
                <w:lang w:eastAsia="en-GB"/>
              </w:rPr>
              <w:t> </w:t>
            </w:r>
          </w:p>
        </w:tc>
        <w:tc>
          <w:tcPr>
            <w:tcW w:w="2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53C5E"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Costs</w:t>
            </w:r>
          </w:p>
        </w:tc>
        <w:tc>
          <w:tcPr>
            <w:tcW w:w="28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99C941"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Benefits</w:t>
            </w:r>
            <w:r w:rsidRPr="006D09E0">
              <w:rPr>
                <w:rFonts w:ascii="Verdana" w:hAnsi="Verdana"/>
                <w:b/>
                <w:bCs/>
                <w:color w:val="000000"/>
                <w:szCs w:val="22"/>
                <w:lang w:eastAsia="en-GB"/>
              </w:rPr>
              <w:br/>
              <w:t xml:space="preserve"> (NHS only)</w:t>
            </w:r>
          </w:p>
        </w:tc>
        <w:tc>
          <w:tcPr>
            <w:tcW w:w="19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CA73B2"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Difference</w:t>
            </w:r>
          </w:p>
        </w:tc>
      </w:tr>
      <w:tr w:rsidR="00760877" w:rsidRPr="006D09E0" w14:paraId="316A69CD" w14:textId="77777777" w:rsidTr="008A3C97">
        <w:trPr>
          <w:trHeight w:val="191"/>
        </w:trPr>
        <w:tc>
          <w:tcPr>
            <w:tcW w:w="2579" w:type="dxa"/>
            <w:tcBorders>
              <w:top w:val="nil"/>
              <w:right w:val="single" w:sz="4" w:space="0" w:color="auto"/>
            </w:tcBorders>
            <w:shd w:val="clear" w:color="auto" w:fill="auto"/>
            <w:noWrap/>
            <w:vAlign w:val="bottom"/>
            <w:hideMark/>
          </w:tcPr>
          <w:p w14:paraId="4556036F"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1</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0FCE9291"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02D984F8"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6DCECBB9" w14:textId="77777777" w:rsidR="00760877" w:rsidRPr="00E439CE" w:rsidRDefault="00760877" w:rsidP="00760877">
            <w:pPr>
              <w:jc w:val="center"/>
              <w:rPr>
                <w:rFonts w:ascii="Verdana" w:hAnsi="Verdana"/>
                <w:b/>
                <w:color w:val="000000"/>
                <w:szCs w:val="22"/>
                <w:lang w:eastAsia="en-GB"/>
              </w:rPr>
            </w:pPr>
          </w:p>
        </w:tc>
      </w:tr>
      <w:tr w:rsidR="00760877" w:rsidRPr="006D09E0" w14:paraId="2156B11C" w14:textId="77777777" w:rsidTr="008A3C97">
        <w:trPr>
          <w:trHeight w:val="191"/>
        </w:trPr>
        <w:tc>
          <w:tcPr>
            <w:tcW w:w="2579" w:type="dxa"/>
            <w:tcBorders>
              <w:top w:val="nil"/>
              <w:right w:val="single" w:sz="4" w:space="0" w:color="auto"/>
            </w:tcBorders>
            <w:shd w:val="clear" w:color="auto" w:fill="auto"/>
            <w:noWrap/>
            <w:vAlign w:val="bottom"/>
            <w:hideMark/>
          </w:tcPr>
          <w:p w14:paraId="5A69B61D"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2</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247C4BCE"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4F74EC6F"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539F4CEB" w14:textId="77777777" w:rsidR="00760877" w:rsidRPr="00E439CE" w:rsidRDefault="00760877" w:rsidP="00760877">
            <w:pPr>
              <w:jc w:val="center"/>
              <w:rPr>
                <w:rFonts w:ascii="Verdana" w:hAnsi="Verdana"/>
                <w:b/>
                <w:color w:val="000000"/>
                <w:szCs w:val="22"/>
                <w:lang w:eastAsia="en-GB"/>
              </w:rPr>
            </w:pPr>
          </w:p>
        </w:tc>
      </w:tr>
      <w:tr w:rsidR="00760877" w:rsidRPr="006D09E0" w14:paraId="07478F23" w14:textId="77777777" w:rsidTr="008A3C97">
        <w:trPr>
          <w:trHeight w:val="191"/>
        </w:trPr>
        <w:tc>
          <w:tcPr>
            <w:tcW w:w="2579" w:type="dxa"/>
            <w:tcBorders>
              <w:top w:val="nil"/>
              <w:right w:val="single" w:sz="4" w:space="0" w:color="auto"/>
            </w:tcBorders>
            <w:shd w:val="clear" w:color="auto" w:fill="auto"/>
            <w:noWrap/>
            <w:vAlign w:val="bottom"/>
            <w:hideMark/>
          </w:tcPr>
          <w:p w14:paraId="15D53B91"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3</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305AEC97"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2B331833"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623430F8" w14:textId="77777777" w:rsidR="00760877" w:rsidRPr="00E439CE" w:rsidRDefault="00760877" w:rsidP="00760877">
            <w:pPr>
              <w:jc w:val="center"/>
              <w:rPr>
                <w:rFonts w:ascii="Verdana" w:hAnsi="Verdana"/>
                <w:b/>
                <w:color w:val="000000"/>
                <w:szCs w:val="22"/>
                <w:lang w:eastAsia="en-GB"/>
              </w:rPr>
            </w:pPr>
          </w:p>
        </w:tc>
      </w:tr>
      <w:tr w:rsidR="00760877" w:rsidRPr="006D09E0" w14:paraId="3818AC4E" w14:textId="77777777" w:rsidTr="008A3C97">
        <w:trPr>
          <w:trHeight w:val="191"/>
        </w:trPr>
        <w:tc>
          <w:tcPr>
            <w:tcW w:w="2579" w:type="dxa"/>
            <w:tcBorders>
              <w:top w:val="nil"/>
              <w:right w:val="single" w:sz="4" w:space="0" w:color="auto"/>
            </w:tcBorders>
            <w:shd w:val="clear" w:color="auto" w:fill="auto"/>
            <w:noWrap/>
            <w:vAlign w:val="bottom"/>
            <w:hideMark/>
          </w:tcPr>
          <w:p w14:paraId="5F4ADA8D"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4</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55AF2CD6"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3C57F0DF"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14C080C4" w14:textId="77777777" w:rsidR="00760877" w:rsidRPr="00E439CE" w:rsidRDefault="00760877" w:rsidP="00760877">
            <w:pPr>
              <w:jc w:val="center"/>
              <w:rPr>
                <w:rFonts w:ascii="Verdana" w:hAnsi="Verdana"/>
                <w:b/>
                <w:color w:val="000000"/>
                <w:szCs w:val="22"/>
                <w:lang w:eastAsia="en-GB"/>
              </w:rPr>
            </w:pPr>
          </w:p>
        </w:tc>
      </w:tr>
      <w:tr w:rsidR="00760877" w:rsidRPr="006D09E0" w14:paraId="70B4EA17" w14:textId="77777777" w:rsidTr="008A3C97">
        <w:trPr>
          <w:trHeight w:val="191"/>
        </w:trPr>
        <w:tc>
          <w:tcPr>
            <w:tcW w:w="2579" w:type="dxa"/>
            <w:tcBorders>
              <w:top w:val="nil"/>
              <w:right w:val="single" w:sz="4" w:space="0" w:color="auto"/>
            </w:tcBorders>
            <w:shd w:val="clear" w:color="auto" w:fill="auto"/>
            <w:noWrap/>
            <w:vAlign w:val="bottom"/>
            <w:hideMark/>
          </w:tcPr>
          <w:p w14:paraId="259702A8"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Year 5</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2D4DA419" w14:textId="77777777" w:rsidR="00760877" w:rsidRPr="006D09E0" w:rsidRDefault="00760877" w:rsidP="00760877">
            <w:pPr>
              <w:jc w:val="center"/>
              <w:rPr>
                <w:rFonts w:ascii="Verdana" w:hAnsi="Verdana"/>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169D2E59" w14:textId="77777777" w:rsidR="00760877" w:rsidRPr="006D09E0" w:rsidRDefault="00760877" w:rsidP="00760877">
            <w:pPr>
              <w:jc w:val="center"/>
              <w:rPr>
                <w:rFonts w:ascii="Verdana" w:hAnsi="Verdana"/>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2707C8F3" w14:textId="77777777" w:rsidR="00760877" w:rsidRPr="00E439CE" w:rsidRDefault="00760877" w:rsidP="00760877">
            <w:pPr>
              <w:jc w:val="center"/>
              <w:rPr>
                <w:rFonts w:ascii="Verdana" w:hAnsi="Verdana"/>
                <w:b/>
                <w:color w:val="000000"/>
                <w:szCs w:val="22"/>
                <w:lang w:eastAsia="en-GB"/>
              </w:rPr>
            </w:pPr>
          </w:p>
        </w:tc>
      </w:tr>
      <w:tr w:rsidR="00760877" w:rsidRPr="006D09E0" w14:paraId="0D27D683" w14:textId="77777777" w:rsidTr="008A3C97">
        <w:trPr>
          <w:trHeight w:val="191"/>
        </w:trPr>
        <w:tc>
          <w:tcPr>
            <w:tcW w:w="2579" w:type="dxa"/>
            <w:tcBorders>
              <w:top w:val="nil"/>
              <w:right w:val="single" w:sz="4" w:space="0" w:color="auto"/>
            </w:tcBorders>
            <w:shd w:val="clear" w:color="auto" w:fill="auto"/>
            <w:noWrap/>
            <w:vAlign w:val="bottom"/>
            <w:hideMark/>
          </w:tcPr>
          <w:p w14:paraId="6785700F" w14:textId="77777777" w:rsidR="00760877" w:rsidRPr="006D09E0" w:rsidRDefault="00760877" w:rsidP="00760877">
            <w:pPr>
              <w:jc w:val="center"/>
              <w:rPr>
                <w:rFonts w:ascii="Verdana" w:hAnsi="Verdana"/>
                <w:b/>
                <w:bCs/>
                <w:color w:val="000000"/>
                <w:szCs w:val="22"/>
                <w:lang w:eastAsia="en-GB"/>
              </w:rPr>
            </w:pPr>
            <w:r w:rsidRPr="006D09E0">
              <w:rPr>
                <w:rFonts w:ascii="Verdana" w:hAnsi="Verdana"/>
                <w:b/>
                <w:bCs/>
                <w:color w:val="000000"/>
                <w:szCs w:val="22"/>
                <w:lang w:eastAsia="en-GB"/>
              </w:rPr>
              <w:t xml:space="preserve">All years </w:t>
            </w:r>
          </w:p>
        </w:tc>
        <w:tc>
          <w:tcPr>
            <w:tcW w:w="2350" w:type="dxa"/>
            <w:tcBorders>
              <w:top w:val="nil"/>
              <w:left w:val="single" w:sz="4" w:space="0" w:color="auto"/>
              <w:bottom w:val="single" w:sz="4" w:space="0" w:color="auto"/>
              <w:right w:val="single" w:sz="4" w:space="0" w:color="auto"/>
            </w:tcBorders>
            <w:shd w:val="clear" w:color="auto" w:fill="auto"/>
            <w:noWrap/>
            <w:vAlign w:val="bottom"/>
            <w:hideMark/>
          </w:tcPr>
          <w:p w14:paraId="0528EB76" w14:textId="77777777" w:rsidR="00760877" w:rsidRPr="006D09E0" w:rsidRDefault="00760877" w:rsidP="00760877">
            <w:pPr>
              <w:jc w:val="center"/>
              <w:rPr>
                <w:rFonts w:ascii="Verdana" w:hAnsi="Verdana"/>
                <w:b/>
                <w:bCs/>
                <w:color w:val="000000"/>
                <w:szCs w:val="22"/>
                <w:lang w:eastAsia="en-GB"/>
              </w:rPr>
            </w:pPr>
          </w:p>
        </w:tc>
        <w:tc>
          <w:tcPr>
            <w:tcW w:w="2821" w:type="dxa"/>
            <w:tcBorders>
              <w:top w:val="nil"/>
              <w:left w:val="nil"/>
              <w:bottom w:val="single" w:sz="4" w:space="0" w:color="auto"/>
              <w:right w:val="single" w:sz="4" w:space="0" w:color="auto"/>
            </w:tcBorders>
            <w:shd w:val="clear" w:color="auto" w:fill="auto"/>
            <w:noWrap/>
            <w:vAlign w:val="bottom"/>
            <w:hideMark/>
          </w:tcPr>
          <w:p w14:paraId="0DDDB296" w14:textId="77777777" w:rsidR="00760877" w:rsidRPr="006D09E0" w:rsidRDefault="00760877" w:rsidP="00760877">
            <w:pPr>
              <w:jc w:val="center"/>
              <w:rPr>
                <w:rFonts w:ascii="Verdana" w:hAnsi="Verdana"/>
                <w:b/>
                <w:bCs/>
                <w:color w:val="000000"/>
                <w:szCs w:val="22"/>
                <w:lang w:eastAsia="en-GB"/>
              </w:rPr>
            </w:pPr>
          </w:p>
        </w:tc>
        <w:tc>
          <w:tcPr>
            <w:tcW w:w="1939" w:type="dxa"/>
            <w:tcBorders>
              <w:top w:val="nil"/>
              <w:left w:val="nil"/>
              <w:bottom w:val="single" w:sz="4" w:space="0" w:color="auto"/>
              <w:right w:val="single" w:sz="4" w:space="0" w:color="auto"/>
            </w:tcBorders>
            <w:shd w:val="clear" w:color="auto" w:fill="auto"/>
            <w:noWrap/>
            <w:vAlign w:val="bottom"/>
            <w:hideMark/>
          </w:tcPr>
          <w:p w14:paraId="0D18D81F" w14:textId="77777777" w:rsidR="00760877" w:rsidRPr="00E439CE" w:rsidRDefault="00760877" w:rsidP="00760877">
            <w:pPr>
              <w:jc w:val="center"/>
              <w:rPr>
                <w:rFonts w:ascii="Verdana" w:hAnsi="Verdana"/>
                <w:b/>
                <w:bCs/>
                <w:color w:val="000000"/>
                <w:szCs w:val="22"/>
                <w:lang w:eastAsia="en-GB"/>
              </w:rPr>
            </w:pPr>
          </w:p>
        </w:tc>
      </w:tr>
    </w:tbl>
    <w:p w14:paraId="25575734" w14:textId="77777777" w:rsidR="00760877" w:rsidRPr="003632B0" w:rsidRDefault="00760877" w:rsidP="005C063A">
      <w:pPr>
        <w:spacing w:before="60" w:after="60"/>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KHEI K+ Frutiger">
    <w:altName w:val="Cambria"/>
    <w:panose1 w:val="00000000000000000000"/>
    <w:charset w:val="00"/>
    <w:family w:val="roman"/>
    <w:notTrueType/>
    <w:pitch w:val="default"/>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Syntax">
    <w:altName w:val="Syntax"/>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Sans-Light">
    <w:altName w:val="Yu Gothic"/>
    <w:panose1 w:val="00000000000000000000"/>
    <w:charset w:val="80"/>
    <w:family w:val="auto"/>
    <w:notTrueType/>
    <w:pitch w:val="default"/>
    <w:sig w:usb0="00000001" w:usb1="08070000" w:usb2="00000010" w:usb3="00000000" w:csb0="00020000" w:csb1="00000000"/>
  </w:font>
  <w:font w:name="OpenSans-Semibold">
    <w:altName w:val="Calibri"/>
    <w:panose1 w:val="00000000000000000000"/>
    <w:charset w:val="00"/>
    <w:family w:val="swiss"/>
    <w:notTrueType/>
    <w:pitch w:val="default"/>
    <w:sig w:usb0="00000003" w:usb1="00000000" w:usb2="00000000" w:usb3="00000000" w:csb0="00000001" w:csb1="00000000"/>
  </w:font>
  <w:font w:name="AdvOT9476842c">
    <w:altName w:val="Cambria"/>
    <w:panose1 w:val="00000000000000000000"/>
    <w:charset w:val="00"/>
    <w:family w:val="roman"/>
    <w:notTrueType/>
    <w:pitch w:val="default"/>
    <w:sig w:usb0="00000003" w:usb1="00000000" w:usb2="00000000" w:usb3="00000000" w:csb0="00000001" w:csb1="00000000"/>
  </w:font>
  <w:font w:name="AdvOTe510cf62.B">
    <w:altName w:val="Cambria"/>
    <w:panose1 w:val="00000000000000000000"/>
    <w:charset w:val="00"/>
    <w:family w:val="roman"/>
    <w:notTrueType/>
    <w:pitch w:val="default"/>
    <w:sig w:usb0="00000003" w:usb1="00000000" w:usb2="00000000" w:usb3="00000000" w:csb0="00000001" w:csb1="00000000"/>
  </w:font>
  <w:font w:name="AdvOTb9f64e59.I">
    <w:altName w:val="Cambria"/>
    <w:panose1 w:val="00000000000000000000"/>
    <w:charset w:val="00"/>
    <w:family w:val="roman"/>
    <w:notTrueType/>
    <w:pitch w:val="default"/>
    <w:sig w:usb0="00000003" w:usb1="00000000" w:usb2="00000000" w:usb3="00000000" w:csb0="00000001" w:csb1="00000000"/>
  </w:font>
  <w:font w:name="AdvTT378de93d+2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9AAE" w14:textId="77777777" w:rsidR="002F50ED" w:rsidRDefault="002F50ED" w:rsidP="006A34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AAD216" w14:textId="77777777" w:rsidR="002F50ED" w:rsidRDefault="002F50ED" w:rsidP="006A3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B7FF" w14:textId="785BFD1C" w:rsidR="002F50ED" w:rsidRDefault="002F50E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13</w:t>
    </w:r>
    <w:r>
      <w:rPr>
        <w:caps/>
        <w:noProof/>
        <w:color w:val="5B9BD5" w:themeColor="accent1"/>
      </w:rPr>
      <w:fldChar w:fldCharType="end"/>
    </w:r>
  </w:p>
  <w:p w14:paraId="22EA8BC7" w14:textId="73AADF29" w:rsidR="002F50ED" w:rsidRDefault="002F50ED" w:rsidP="00F46431">
    <w:pPr>
      <w:pStyle w:val="Footer"/>
    </w:pPr>
    <w:r>
      <w:t xml:space="preserve">FLS Business Case </w:t>
    </w:r>
    <w:r w:rsidR="004E3D0F">
      <w:t>Resource</w:t>
    </w:r>
    <w:r>
      <w:tab/>
    </w:r>
    <w:r w:rsidR="00443874">
      <w:tab/>
      <w:t>July</w:t>
    </w:r>
    <w:r w:rsidR="00360B05">
      <w:t xml:space="preserve"> 2020</w:t>
    </w:r>
    <w:r>
      <w:t xml:space="preserve">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000D" w14:textId="77777777" w:rsidR="00F81852" w:rsidRDefault="00F81852" w:rsidP="006A3439">
      <w:r>
        <w:separator/>
      </w:r>
    </w:p>
  </w:footnote>
  <w:footnote w:type="continuationSeparator" w:id="0">
    <w:p w14:paraId="6439861F" w14:textId="77777777" w:rsidR="00F81852" w:rsidRDefault="00F81852" w:rsidP="006A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6048" w14:textId="77777777" w:rsidR="002F50ED" w:rsidRDefault="002F50ED">
    <w:pPr>
      <w:pStyle w:val="Header"/>
    </w:pPr>
  </w:p>
  <w:p w14:paraId="4F287C0D" w14:textId="77777777" w:rsidR="002F50ED" w:rsidRDefault="002F5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7BD"/>
    <w:multiLevelType w:val="multilevel"/>
    <w:tmpl w:val="F99A3B5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530977"/>
    <w:multiLevelType w:val="multilevel"/>
    <w:tmpl w:val="7934520E"/>
    <w:lvl w:ilvl="0">
      <w:start w:val="1"/>
      <w:numFmt w:val="decimal"/>
      <w:pStyle w:val="MMCallout1"/>
      <w:suff w:val="space"/>
      <w:lvlText w:val="="/>
      <w:lvlJc w:val="left"/>
      <w:pPr>
        <w:ind w:left="200" w:hanging="200"/>
      </w:pPr>
      <w:rPr>
        <w:rFonts w:ascii="Webdings" w:hAnsi="Webdings"/>
        <w:sz w:val="16"/>
      </w:rPr>
    </w:lvl>
    <w:lvl w:ilvl="1">
      <w:start w:val="8"/>
      <w:numFmt w:val="bullet"/>
      <w:lvlText w:val="•"/>
      <w:lvlJc w:val="left"/>
      <w:pPr>
        <w:ind w:left="1440" w:hanging="360"/>
      </w:pPr>
      <w:rPr>
        <w:rFonts w:ascii="Cambria" w:eastAsia="Times New Roman" w:hAnsi="Cambria" w:cs="Times New Roman" w:hint="default"/>
      </w:rPr>
    </w:lvl>
    <w:lvl w:ilvl="2">
      <w:start w:val="1"/>
      <w:numFmt w:val="decimal"/>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A9570C"/>
    <w:multiLevelType w:val="hybridMultilevel"/>
    <w:tmpl w:val="86724850"/>
    <w:lvl w:ilvl="0" w:tplc="08090001">
      <w:start w:val="1"/>
      <w:numFmt w:val="bullet"/>
      <w:lvlText w:val=""/>
      <w:lvlJc w:val="left"/>
      <w:pPr>
        <w:ind w:left="229" w:hanging="360"/>
      </w:pPr>
      <w:rPr>
        <w:rFonts w:ascii="Symbol" w:hAnsi="Symbol" w:hint="default"/>
      </w:rPr>
    </w:lvl>
    <w:lvl w:ilvl="1" w:tplc="08090003">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 w15:restartNumberingAfterBreak="0">
    <w:nsid w:val="0DA5378D"/>
    <w:multiLevelType w:val="hybridMultilevel"/>
    <w:tmpl w:val="9AA2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87997"/>
    <w:multiLevelType w:val="hybridMultilevel"/>
    <w:tmpl w:val="1CCE6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D7567"/>
    <w:multiLevelType w:val="hybridMultilevel"/>
    <w:tmpl w:val="9D7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5597A"/>
    <w:multiLevelType w:val="multilevel"/>
    <w:tmpl w:val="BCA23CAA"/>
    <w:lvl w:ilvl="0">
      <w:start w:val="1"/>
      <w:numFmt w:val="decimal"/>
      <w:lvlText w:val="%1"/>
      <w:lvlJc w:val="left"/>
      <w:pPr>
        <w:ind w:left="360" w:hanging="360"/>
      </w:pPr>
      <w:rPr>
        <w:rFonts w:hint="default"/>
      </w:rPr>
    </w:lvl>
    <w:lvl w:ilvl="1">
      <w:start w:val="1"/>
      <w:numFmt w:val="decimal"/>
      <w:pStyle w:val="Sub-heading"/>
      <w:lvlText w:val="%1.%2"/>
      <w:lvlJc w:val="left"/>
      <w:pPr>
        <w:ind w:left="360" w:hanging="360"/>
      </w:pPr>
      <w:rPr>
        <w:rFonts w:ascii="Verdana" w:hAnsi="Verdana"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3612A5"/>
    <w:multiLevelType w:val="hybridMultilevel"/>
    <w:tmpl w:val="F28EB63A"/>
    <w:lvl w:ilvl="0" w:tplc="81228CC0">
      <w:start w:val="1"/>
      <w:numFmt w:val="decimal"/>
      <w:lvlText w:val="%1."/>
      <w:lvlJc w:val="left"/>
      <w:pPr>
        <w:ind w:left="436" w:hanging="360"/>
      </w:pPr>
      <w:rPr>
        <w:rFonts w:ascii="Verdana" w:hAnsi="Verdana" w:hint="default"/>
        <w:b/>
        <w:i w:val="0"/>
        <w:color w:val="auto"/>
        <w:sz w:val="28"/>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7CC72AAD"/>
    <w:multiLevelType w:val="hybridMultilevel"/>
    <w:tmpl w:val="BAF0F854"/>
    <w:lvl w:ilvl="0" w:tplc="6FDCCC0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B7481"/>
    <w:multiLevelType w:val="hybridMultilevel"/>
    <w:tmpl w:val="EBA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2"/>
  </w:num>
  <w:num w:numId="7">
    <w:abstractNumId w:val="5"/>
  </w:num>
  <w:num w:numId="8">
    <w:abstractNumId w:val="9"/>
  </w:num>
  <w:num w:numId="9">
    <w:abstractNumId w:val="1"/>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35"/>
    <w:rsid w:val="00000C4D"/>
    <w:rsid w:val="00002749"/>
    <w:rsid w:val="00011A6B"/>
    <w:rsid w:val="00012058"/>
    <w:rsid w:val="00012F74"/>
    <w:rsid w:val="000138B3"/>
    <w:rsid w:val="0001572F"/>
    <w:rsid w:val="00015873"/>
    <w:rsid w:val="00022124"/>
    <w:rsid w:val="000241D5"/>
    <w:rsid w:val="00025450"/>
    <w:rsid w:val="00026759"/>
    <w:rsid w:val="00030248"/>
    <w:rsid w:val="000313DC"/>
    <w:rsid w:val="00032D18"/>
    <w:rsid w:val="00034A5E"/>
    <w:rsid w:val="00034CB6"/>
    <w:rsid w:val="00034FAA"/>
    <w:rsid w:val="00040375"/>
    <w:rsid w:val="00041950"/>
    <w:rsid w:val="00044AD5"/>
    <w:rsid w:val="00044F54"/>
    <w:rsid w:val="00051C1B"/>
    <w:rsid w:val="00053060"/>
    <w:rsid w:val="0005699F"/>
    <w:rsid w:val="00056A79"/>
    <w:rsid w:val="00056BFD"/>
    <w:rsid w:val="00063DE2"/>
    <w:rsid w:val="00064CB3"/>
    <w:rsid w:val="00070530"/>
    <w:rsid w:val="00070738"/>
    <w:rsid w:val="00070B6D"/>
    <w:rsid w:val="00071DC7"/>
    <w:rsid w:val="000750FD"/>
    <w:rsid w:val="00086393"/>
    <w:rsid w:val="00090BC4"/>
    <w:rsid w:val="0009174C"/>
    <w:rsid w:val="00097F3B"/>
    <w:rsid w:val="000A1A30"/>
    <w:rsid w:val="000A1BD8"/>
    <w:rsid w:val="000A2164"/>
    <w:rsid w:val="000A2993"/>
    <w:rsid w:val="000A318F"/>
    <w:rsid w:val="000A37BB"/>
    <w:rsid w:val="000A37F7"/>
    <w:rsid w:val="000A3A5E"/>
    <w:rsid w:val="000A3AC8"/>
    <w:rsid w:val="000A3C32"/>
    <w:rsid w:val="000A3E26"/>
    <w:rsid w:val="000A4038"/>
    <w:rsid w:val="000A4124"/>
    <w:rsid w:val="000A597D"/>
    <w:rsid w:val="000A6711"/>
    <w:rsid w:val="000B2021"/>
    <w:rsid w:val="000B25D4"/>
    <w:rsid w:val="000B4AD9"/>
    <w:rsid w:val="000B505D"/>
    <w:rsid w:val="000B5B44"/>
    <w:rsid w:val="000B6825"/>
    <w:rsid w:val="000C2317"/>
    <w:rsid w:val="000C4811"/>
    <w:rsid w:val="000D1B21"/>
    <w:rsid w:val="000D2B28"/>
    <w:rsid w:val="000D2CD0"/>
    <w:rsid w:val="000D48FA"/>
    <w:rsid w:val="000D60DA"/>
    <w:rsid w:val="000D6B71"/>
    <w:rsid w:val="000D7272"/>
    <w:rsid w:val="000E01C8"/>
    <w:rsid w:val="000E280F"/>
    <w:rsid w:val="000E3CF6"/>
    <w:rsid w:val="000E5484"/>
    <w:rsid w:val="000E6141"/>
    <w:rsid w:val="000E7722"/>
    <w:rsid w:val="000E7CBD"/>
    <w:rsid w:val="000F02E8"/>
    <w:rsid w:val="000F10C4"/>
    <w:rsid w:val="000F306D"/>
    <w:rsid w:val="000F3223"/>
    <w:rsid w:val="000F35E1"/>
    <w:rsid w:val="000F4051"/>
    <w:rsid w:val="000F6F0D"/>
    <w:rsid w:val="000F7DAE"/>
    <w:rsid w:val="00100C95"/>
    <w:rsid w:val="001125D4"/>
    <w:rsid w:val="00130F6C"/>
    <w:rsid w:val="001319B2"/>
    <w:rsid w:val="00132696"/>
    <w:rsid w:val="0013460B"/>
    <w:rsid w:val="00134E7D"/>
    <w:rsid w:val="001360F3"/>
    <w:rsid w:val="00140C33"/>
    <w:rsid w:val="00141C4C"/>
    <w:rsid w:val="00141D34"/>
    <w:rsid w:val="00142A3E"/>
    <w:rsid w:val="00144A48"/>
    <w:rsid w:val="00145DE3"/>
    <w:rsid w:val="00150D67"/>
    <w:rsid w:val="0015121C"/>
    <w:rsid w:val="00154DDB"/>
    <w:rsid w:val="0016055B"/>
    <w:rsid w:val="0016139A"/>
    <w:rsid w:val="00162604"/>
    <w:rsid w:val="0016665E"/>
    <w:rsid w:val="00166BBB"/>
    <w:rsid w:val="00166F73"/>
    <w:rsid w:val="0016735F"/>
    <w:rsid w:val="0017037E"/>
    <w:rsid w:val="00170DA2"/>
    <w:rsid w:val="00172C45"/>
    <w:rsid w:val="00175CD8"/>
    <w:rsid w:val="0017736E"/>
    <w:rsid w:val="00182C0D"/>
    <w:rsid w:val="001841D7"/>
    <w:rsid w:val="001845F1"/>
    <w:rsid w:val="00187679"/>
    <w:rsid w:val="00191F0E"/>
    <w:rsid w:val="00193AF6"/>
    <w:rsid w:val="0019483C"/>
    <w:rsid w:val="00194A5A"/>
    <w:rsid w:val="00195F49"/>
    <w:rsid w:val="00196D7B"/>
    <w:rsid w:val="001A0C11"/>
    <w:rsid w:val="001A0D33"/>
    <w:rsid w:val="001A0E5F"/>
    <w:rsid w:val="001A678A"/>
    <w:rsid w:val="001A7DF5"/>
    <w:rsid w:val="001B0F09"/>
    <w:rsid w:val="001B1723"/>
    <w:rsid w:val="001B709F"/>
    <w:rsid w:val="001B7454"/>
    <w:rsid w:val="001C19C1"/>
    <w:rsid w:val="001C1DF5"/>
    <w:rsid w:val="001C3CFC"/>
    <w:rsid w:val="001C73E0"/>
    <w:rsid w:val="001C7624"/>
    <w:rsid w:val="001D1159"/>
    <w:rsid w:val="001D333E"/>
    <w:rsid w:val="001D3F3E"/>
    <w:rsid w:val="001D457E"/>
    <w:rsid w:val="001D5782"/>
    <w:rsid w:val="001D5845"/>
    <w:rsid w:val="001D6CD5"/>
    <w:rsid w:val="001E256C"/>
    <w:rsid w:val="001E34D3"/>
    <w:rsid w:val="001E4D3B"/>
    <w:rsid w:val="001E5A71"/>
    <w:rsid w:val="001E6876"/>
    <w:rsid w:val="001E68CA"/>
    <w:rsid w:val="001E72F9"/>
    <w:rsid w:val="001F2E48"/>
    <w:rsid w:val="001F4012"/>
    <w:rsid w:val="001F4AFA"/>
    <w:rsid w:val="001F778D"/>
    <w:rsid w:val="001F7CCD"/>
    <w:rsid w:val="00201DD2"/>
    <w:rsid w:val="00202F2A"/>
    <w:rsid w:val="0020419C"/>
    <w:rsid w:val="002071F2"/>
    <w:rsid w:val="00210D82"/>
    <w:rsid w:val="002115DE"/>
    <w:rsid w:val="00211A85"/>
    <w:rsid w:val="0021328B"/>
    <w:rsid w:val="0021339E"/>
    <w:rsid w:val="002148DF"/>
    <w:rsid w:val="00214CC1"/>
    <w:rsid w:val="00215519"/>
    <w:rsid w:val="00217BC7"/>
    <w:rsid w:val="002214CE"/>
    <w:rsid w:val="00222328"/>
    <w:rsid w:val="0022376E"/>
    <w:rsid w:val="002238ED"/>
    <w:rsid w:val="00224562"/>
    <w:rsid w:val="00224737"/>
    <w:rsid w:val="00224CBF"/>
    <w:rsid w:val="00224DAB"/>
    <w:rsid w:val="0022735A"/>
    <w:rsid w:val="00231479"/>
    <w:rsid w:val="00232BE3"/>
    <w:rsid w:val="00233524"/>
    <w:rsid w:val="002336B7"/>
    <w:rsid w:val="00235151"/>
    <w:rsid w:val="00237B19"/>
    <w:rsid w:val="00241DEC"/>
    <w:rsid w:val="00246CEA"/>
    <w:rsid w:val="002511AF"/>
    <w:rsid w:val="002513DD"/>
    <w:rsid w:val="00256F88"/>
    <w:rsid w:val="00257D7A"/>
    <w:rsid w:val="0026030B"/>
    <w:rsid w:val="0026391E"/>
    <w:rsid w:val="002648DC"/>
    <w:rsid w:val="002664AD"/>
    <w:rsid w:val="002665D5"/>
    <w:rsid w:val="00270192"/>
    <w:rsid w:val="00270482"/>
    <w:rsid w:val="002719E7"/>
    <w:rsid w:val="00273702"/>
    <w:rsid w:val="002739BC"/>
    <w:rsid w:val="00274D8D"/>
    <w:rsid w:val="002756E7"/>
    <w:rsid w:val="00275AD4"/>
    <w:rsid w:val="00281A70"/>
    <w:rsid w:val="002840B5"/>
    <w:rsid w:val="00286691"/>
    <w:rsid w:val="00293733"/>
    <w:rsid w:val="002945E2"/>
    <w:rsid w:val="00297251"/>
    <w:rsid w:val="002A02CF"/>
    <w:rsid w:val="002A08D3"/>
    <w:rsid w:val="002A2530"/>
    <w:rsid w:val="002A41C7"/>
    <w:rsid w:val="002A6BDB"/>
    <w:rsid w:val="002A77C7"/>
    <w:rsid w:val="002B0DEC"/>
    <w:rsid w:val="002B2770"/>
    <w:rsid w:val="002B624E"/>
    <w:rsid w:val="002B746D"/>
    <w:rsid w:val="002C04F1"/>
    <w:rsid w:val="002C285F"/>
    <w:rsid w:val="002C6FFF"/>
    <w:rsid w:val="002D2628"/>
    <w:rsid w:val="002D33A3"/>
    <w:rsid w:val="002D3525"/>
    <w:rsid w:val="002D3D3A"/>
    <w:rsid w:val="002D4A9E"/>
    <w:rsid w:val="002D5D9A"/>
    <w:rsid w:val="002D6B5F"/>
    <w:rsid w:val="002D7B5C"/>
    <w:rsid w:val="002E1D74"/>
    <w:rsid w:val="002E24EF"/>
    <w:rsid w:val="002E296D"/>
    <w:rsid w:val="002E39FD"/>
    <w:rsid w:val="002E3C48"/>
    <w:rsid w:val="002E4DBC"/>
    <w:rsid w:val="002E6B76"/>
    <w:rsid w:val="002F0CF8"/>
    <w:rsid w:val="002F0FCE"/>
    <w:rsid w:val="002F2E69"/>
    <w:rsid w:val="002F50ED"/>
    <w:rsid w:val="003008E1"/>
    <w:rsid w:val="003011B0"/>
    <w:rsid w:val="00301F5D"/>
    <w:rsid w:val="00302BC0"/>
    <w:rsid w:val="003034E3"/>
    <w:rsid w:val="003105D2"/>
    <w:rsid w:val="00312D90"/>
    <w:rsid w:val="003160FC"/>
    <w:rsid w:val="00317ED2"/>
    <w:rsid w:val="00320FE4"/>
    <w:rsid w:val="00321C67"/>
    <w:rsid w:val="0032207A"/>
    <w:rsid w:val="003221EB"/>
    <w:rsid w:val="003228C1"/>
    <w:rsid w:val="00325F45"/>
    <w:rsid w:val="00326D46"/>
    <w:rsid w:val="00326DEF"/>
    <w:rsid w:val="0033194F"/>
    <w:rsid w:val="00331A74"/>
    <w:rsid w:val="003348AB"/>
    <w:rsid w:val="00337C96"/>
    <w:rsid w:val="003409F2"/>
    <w:rsid w:val="00341124"/>
    <w:rsid w:val="00341DFC"/>
    <w:rsid w:val="00341ED6"/>
    <w:rsid w:val="003429B4"/>
    <w:rsid w:val="00342A41"/>
    <w:rsid w:val="003450C7"/>
    <w:rsid w:val="00346797"/>
    <w:rsid w:val="00346DFA"/>
    <w:rsid w:val="00350B67"/>
    <w:rsid w:val="00354330"/>
    <w:rsid w:val="00357339"/>
    <w:rsid w:val="003601F7"/>
    <w:rsid w:val="00360B05"/>
    <w:rsid w:val="00361332"/>
    <w:rsid w:val="003632B0"/>
    <w:rsid w:val="00364B12"/>
    <w:rsid w:val="003668EA"/>
    <w:rsid w:val="003711DE"/>
    <w:rsid w:val="00371DD3"/>
    <w:rsid w:val="00372288"/>
    <w:rsid w:val="00375C95"/>
    <w:rsid w:val="00376D92"/>
    <w:rsid w:val="003802AE"/>
    <w:rsid w:val="00380E79"/>
    <w:rsid w:val="00381659"/>
    <w:rsid w:val="00383B63"/>
    <w:rsid w:val="00386454"/>
    <w:rsid w:val="00387FBC"/>
    <w:rsid w:val="00393340"/>
    <w:rsid w:val="00396981"/>
    <w:rsid w:val="003A014E"/>
    <w:rsid w:val="003A2545"/>
    <w:rsid w:val="003A2726"/>
    <w:rsid w:val="003A2EDF"/>
    <w:rsid w:val="003A3638"/>
    <w:rsid w:val="003A36FC"/>
    <w:rsid w:val="003A5B5C"/>
    <w:rsid w:val="003B0B7E"/>
    <w:rsid w:val="003B3671"/>
    <w:rsid w:val="003B3B28"/>
    <w:rsid w:val="003B5D81"/>
    <w:rsid w:val="003B7205"/>
    <w:rsid w:val="003B7353"/>
    <w:rsid w:val="003C095E"/>
    <w:rsid w:val="003C1054"/>
    <w:rsid w:val="003C13F2"/>
    <w:rsid w:val="003C1DBA"/>
    <w:rsid w:val="003C3578"/>
    <w:rsid w:val="003C660C"/>
    <w:rsid w:val="003D20B3"/>
    <w:rsid w:val="003D3E53"/>
    <w:rsid w:val="003D4826"/>
    <w:rsid w:val="003D73C3"/>
    <w:rsid w:val="003E0DAB"/>
    <w:rsid w:val="003E1536"/>
    <w:rsid w:val="003E76A2"/>
    <w:rsid w:val="003F0826"/>
    <w:rsid w:val="003F2F5D"/>
    <w:rsid w:val="003F31E2"/>
    <w:rsid w:val="003F3EC4"/>
    <w:rsid w:val="003F4403"/>
    <w:rsid w:val="003F50B2"/>
    <w:rsid w:val="003F5630"/>
    <w:rsid w:val="003F7503"/>
    <w:rsid w:val="004027B8"/>
    <w:rsid w:val="00403FE0"/>
    <w:rsid w:val="00406003"/>
    <w:rsid w:val="00406FF3"/>
    <w:rsid w:val="004124D8"/>
    <w:rsid w:val="0041469B"/>
    <w:rsid w:val="00414712"/>
    <w:rsid w:val="00420693"/>
    <w:rsid w:val="004206FE"/>
    <w:rsid w:val="00422264"/>
    <w:rsid w:val="004267F9"/>
    <w:rsid w:val="00430332"/>
    <w:rsid w:val="0043095C"/>
    <w:rsid w:val="004325FA"/>
    <w:rsid w:val="00433AE0"/>
    <w:rsid w:val="00434B38"/>
    <w:rsid w:val="00436EA6"/>
    <w:rsid w:val="0043746B"/>
    <w:rsid w:val="00443874"/>
    <w:rsid w:val="00443E89"/>
    <w:rsid w:val="0044641D"/>
    <w:rsid w:val="00446892"/>
    <w:rsid w:val="00446AC5"/>
    <w:rsid w:val="00447CB7"/>
    <w:rsid w:val="004526A7"/>
    <w:rsid w:val="004526DE"/>
    <w:rsid w:val="00452A4C"/>
    <w:rsid w:val="00453BB9"/>
    <w:rsid w:val="004555AB"/>
    <w:rsid w:val="0046134D"/>
    <w:rsid w:val="00464035"/>
    <w:rsid w:val="00466AE1"/>
    <w:rsid w:val="00466C05"/>
    <w:rsid w:val="00470322"/>
    <w:rsid w:val="00473F39"/>
    <w:rsid w:val="0047408D"/>
    <w:rsid w:val="00474434"/>
    <w:rsid w:val="0047596E"/>
    <w:rsid w:val="00476373"/>
    <w:rsid w:val="0047794E"/>
    <w:rsid w:val="00480146"/>
    <w:rsid w:val="00483A61"/>
    <w:rsid w:val="00484665"/>
    <w:rsid w:val="00485263"/>
    <w:rsid w:val="00486235"/>
    <w:rsid w:val="00487ABA"/>
    <w:rsid w:val="00490A43"/>
    <w:rsid w:val="00493437"/>
    <w:rsid w:val="0049569C"/>
    <w:rsid w:val="004961F2"/>
    <w:rsid w:val="004A2ADC"/>
    <w:rsid w:val="004A67C4"/>
    <w:rsid w:val="004A7583"/>
    <w:rsid w:val="004B0DFF"/>
    <w:rsid w:val="004B50CB"/>
    <w:rsid w:val="004B5C97"/>
    <w:rsid w:val="004B62E6"/>
    <w:rsid w:val="004B6343"/>
    <w:rsid w:val="004B65AD"/>
    <w:rsid w:val="004C2AB3"/>
    <w:rsid w:val="004D0306"/>
    <w:rsid w:val="004D20E0"/>
    <w:rsid w:val="004D29EB"/>
    <w:rsid w:val="004D32DC"/>
    <w:rsid w:val="004D3823"/>
    <w:rsid w:val="004D3E4F"/>
    <w:rsid w:val="004D4DB6"/>
    <w:rsid w:val="004D51BA"/>
    <w:rsid w:val="004D6C00"/>
    <w:rsid w:val="004E0F36"/>
    <w:rsid w:val="004E15F3"/>
    <w:rsid w:val="004E1743"/>
    <w:rsid w:val="004E38A7"/>
    <w:rsid w:val="004E3D0F"/>
    <w:rsid w:val="004E3E87"/>
    <w:rsid w:val="004E64D7"/>
    <w:rsid w:val="004F1174"/>
    <w:rsid w:val="004F195B"/>
    <w:rsid w:val="004F1A96"/>
    <w:rsid w:val="004F1E89"/>
    <w:rsid w:val="004F696D"/>
    <w:rsid w:val="004F778C"/>
    <w:rsid w:val="00501096"/>
    <w:rsid w:val="00501D1D"/>
    <w:rsid w:val="00503A56"/>
    <w:rsid w:val="005041CC"/>
    <w:rsid w:val="00510ED0"/>
    <w:rsid w:val="0051149E"/>
    <w:rsid w:val="00511DD6"/>
    <w:rsid w:val="00513549"/>
    <w:rsid w:val="00515467"/>
    <w:rsid w:val="005154A1"/>
    <w:rsid w:val="0051592F"/>
    <w:rsid w:val="00516068"/>
    <w:rsid w:val="0052053A"/>
    <w:rsid w:val="00527714"/>
    <w:rsid w:val="005278E7"/>
    <w:rsid w:val="00533D6A"/>
    <w:rsid w:val="0053640D"/>
    <w:rsid w:val="00536834"/>
    <w:rsid w:val="00536A6B"/>
    <w:rsid w:val="00537C2A"/>
    <w:rsid w:val="00537E5C"/>
    <w:rsid w:val="00540F74"/>
    <w:rsid w:val="0054379E"/>
    <w:rsid w:val="00543A71"/>
    <w:rsid w:val="005444EB"/>
    <w:rsid w:val="00544680"/>
    <w:rsid w:val="00545D64"/>
    <w:rsid w:val="0055235B"/>
    <w:rsid w:val="0055576E"/>
    <w:rsid w:val="0055595A"/>
    <w:rsid w:val="00557860"/>
    <w:rsid w:val="005613A8"/>
    <w:rsid w:val="00562DB0"/>
    <w:rsid w:val="00563C5B"/>
    <w:rsid w:val="00563D65"/>
    <w:rsid w:val="00563FB3"/>
    <w:rsid w:val="00564BB9"/>
    <w:rsid w:val="005652F7"/>
    <w:rsid w:val="0056674E"/>
    <w:rsid w:val="005674E5"/>
    <w:rsid w:val="00567775"/>
    <w:rsid w:val="005716BF"/>
    <w:rsid w:val="0057313E"/>
    <w:rsid w:val="00573E77"/>
    <w:rsid w:val="005745AA"/>
    <w:rsid w:val="00576F9D"/>
    <w:rsid w:val="00580D6D"/>
    <w:rsid w:val="0058126B"/>
    <w:rsid w:val="0058186C"/>
    <w:rsid w:val="00582A21"/>
    <w:rsid w:val="00582AC9"/>
    <w:rsid w:val="005830D3"/>
    <w:rsid w:val="00595F8E"/>
    <w:rsid w:val="0059658E"/>
    <w:rsid w:val="005A3664"/>
    <w:rsid w:val="005A44F6"/>
    <w:rsid w:val="005A4F4C"/>
    <w:rsid w:val="005A6524"/>
    <w:rsid w:val="005B01B5"/>
    <w:rsid w:val="005B0550"/>
    <w:rsid w:val="005B2EDC"/>
    <w:rsid w:val="005B2FC6"/>
    <w:rsid w:val="005B33EE"/>
    <w:rsid w:val="005B376D"/>
    <w:rsid w:val="005B45AF"/>
    <w:rsid w:val="005B4E37"/>
    <w:rsid w:val="005B659B"/>
    <w:rsid w:val="005C063A"/>
    <w:rsid w:val="005C1936"/>
    <w:rsid w:val="005C30C7"/>
    <w:rsid w:val="005C3785"/>
    <w:rsid w:val="005C3F36"/>
    <w:rsid w:val="005C504A"/>
    <w:rsid w:val="005C6EC5"/>
    <w:rsid w:val="005D2C2E"/>
    <w:rsid w:val="005D33F0"/>
    <w:rsid w:val="005E1BE3"/>
    <w:rsid w:val="005E20E5"/>
    <w:rsid w:val="005E2F3E"/>
    <w:rsid w:val="005E3EC1"/>
    <w:rsid w:val="005E7575"/>
    <w:rsid w:val="005E7DAA"/>
    <w:rsid w:val="005F1CB5"/>
    <w:rsid w:val="005F5BE7"/>
    <w:rsid w:val="005F5D51"/>
    <w:rsid w:val="005F6213"/>
    <w:rsid w:val="005F6A24"/>
    <w:rsid w:val="005F74ED"/>
    <w:rsid w:val="005F7DCA"/>
    <w:rsid w:val="005F7E05"/>
    <w:rsid w:val="00601E9E"/>
    <w:rsid w:val="00602A63"/>
    <w:rsid w:val="006031C1"/>
    <w:rsid w:val="0060649D"/>
    <w:rsid w:val="00613232"/>
    <w:rsid w:val="006138C7"/>
    <w:rsid w:val="00614801"/>
    <w:rsid w:val="006163E1"/>
    <w:rsid w:val="0061660E"/>
    <w:rsid w:val="0062462B"/>
    <w:rsid w:val="00624CB8"/>
    <w:rsid w:val="006260E4"/>
    <w:rsid w:val="006264C2"/>
    <w:rsid w:val="0063003F"/>
    <w:rsid w:val="00630DD8"/>
    <w:rsid w:val="00631E6A"/>
    <w:rsid w:val="006339FE"/>
    <w:rsid w:val="00633D8B"/>
    <w:rsid w:val="00636ABF"/>
    <w:rsid w:val="006372E9"/>
    <w:rsid w:val="0064008B"/>
    <w:rsid w:val="00641230"/>
    <w:rsid w:val="00642F08"/>
    <w:rsid w:val="006430B0"/>
    <w:rsid w:val="00645014"/>
    <w:rsid w:val="0064568B"/>
    <w:rsid w:val="00650B39"/>
    <w:rsid w:val="0065158B"/>
    <w:rsid w:val="00652EAA"/>
    <w:rsid w:val="006550E2"/>
    <w:rsid w:val="006600B7"/>
    <w:rsid w:val="00664CFC"/>
    <w:rsid w:val="006658C5"/>
    <w:rsid w:val="00666F8C"/>
    <w:rsid w:val="0066788D"/>
    <w:rsid w:val="00674973"/>
    <w:rsid w:val="00675A3C"/>
    <w:rsid w:val="0067672F"/>
    <w:rsid w:val="006770A9"/>
    <w:rsid w:val="00677EB2"/>
    <w:rsid w:val="00682027"/>
    <w:rsid w:val="00682E3E"/>
    <w:rsid w:val="00683733"/>
    <w:rsid w:val="00683B19"/>
    <w:rsid w:val="00683C07"/>
    <w:rsid w:val="00686273"/>
    <w:rsid w:val="006869A1"/>
    <w:rsid w:val="00686BAD"/>
    <w:rsid w:val="00686FF3"/>
    <w:rsid w:val="00692E34"/>
    <w:rsid w:val="00693FBA"/>
    <w:rsid w:val="00695D47"/>
    <w:rsid w:val="00695D5C"/>
    <w:rsid w:val="006961A5"/>
    <w:rsid w:val="00697C60"/>
    <w:rsid w:val="006A281B"/>
    <w:rsid w:val="006A3439"/>
    <w:rsid w:val="006A36E8"/>
    <w:rsid w:val="006A4404"/>
    <w:rsid w:val="006A45CC"/>
    <w:rsid w:val="006A4DF9"/>
    <w:rsid w:val="006A50A6"/>
    <w:rsid w:val="006B20B2"/>
    <w:rsid w:val="006B2B91"/>
    <w:rsid w:val="006B7C1B"/>
    <w:rsid w:val="006C1F58"/>
    <w:rsid w:val="006C240C"/>
    <w:rsid w:val="006C251F"/>
    <w:rsid w:val="006C5116"/>
    <w:rsid w:val="006C60E1"/>
    <w:rsid w:val="006C61F1"/>
    <w:rsid w:val="006C6B53"/>
    <w:rsid w:val="006C7D68"/>
    <w:rsid w:val="006D09E0"/>
    <w:rsid w:val="006D20CD"/>
    <w:rsid w:val="006D2B39"/>
    <w:rsid w:val="006E04D3"/>
    <w:rsid w:val="006E34A4"/>
    <w:rsid w:val="006E4DB6"/>
    <w:rsid w:val="006E58B0"/>
    <w:rsid w:val="006E75FC"/>
    <w:rsid w:val="006E7DAD"/>
    <w:rsid w:val="006F00DF"/>
    <w:rsid w:val="006F203D"/>
    <w:rsid w:val="006F2C97"/>
    <w:rsid w:val="006F2D25"/>
    <w:rsid w:val="006F2D5D"/>
    <w:rsid w:val="006F598F"/>
    <w:rsid w:val="006F639F"/>
    <w:rsid w:val="006F7400"/>
    <w:rsid w:val="006F772C"/>
    <w:rsid w:val="00702164"/>
    <w:rsid w:val="00704E7B"/>
    <w:rsid w:val="007050DA"/>
    <w:rsid w:val="00705B5D"/>
    <w:rsid w:val="00711171"/>
    <w:rsid w:val="00712DFA"/>
    <w:rsid w:val="007161A2"/>
    <w:rsid w:val="0071639C"/>
    <w:rsid w:val="007218A6"/>
    <w:rsid w:val="00722D98"/>
    <w:rsid w:val="00724556"/>
    <w:rsid w:val="00724D27"/>
    <w:rsid w:val="00725748"/>
    <w:rsid w:val="0073109C"/>
    <w:rsid w:val="00732702"/>
    <w:rsid w:val="007344B6"/>
    <w:rsid w:val="00734646"/>
    <w:rsid w:val="00734855"/>
    <w:rsid w:val="007349C1"/>
    <w:rsid w:val="0073531A"/>
    <w:rsid w:val="00744245"/>
    <w:rsid w:val="0074739F"/>
    <w:rsid w:val="00750817"/>
    <w:rsid w:val="00751FFC"/>
    <w:rsid w:val="00753A9B"/>
    <w:rsid w:val="007543ED"/>
    <w:rsid w:val="0075454E"/>
    <w:rsid w:val="007548C7"/>
    <w:rsid w:val="007554AD"/>
    <w:rsid w:val="00757F2E"/>
    <w:rsid w:val="00760003"/>
    <w:rsid w:val="00760877"/>
    <w:rsid w:val="007622DD"/>
    <w:rsid w:val="00762B9C"/>
    <w:rsid w:val="00765108"/>
    <w:rsid w:val="00766E1B"/>
    <w:rsid w:val="00771E1E"/>
    <w:rsid w:val="00772EC0"/>
    <w:rsid w:val="00773A73"/>
    <w:rsid w:val="007766E9"/>
    <w:rsid w:val="00777EE3"/>
    <w:rsid w:val="00780C54"/>
    <w:rsid w:val="00781B66"/>
    <w:rsid w:val="007825D5"/>
    <w:rsid w:val="00784658"/>
    <w:rsid w:val="00787B64"/>
    <w:rsid w:val="0079085C"/>
    <w:rsid w:val="007908FF"/>
    <w:rsid w:val="00790C62"/>
    <w:rsid w:val="00791272"/>
    <w:rsid w:val="00791733"/>
    <w:rsid w:val="00793763"/>
    <w:rsid w:val="00795722"/>
    <w:rsid w:val="00795935"/>
    <w:rsid w:val="00796F2E"/>
    <w:rsid w:val="0079775D"/>
    <w:rsid w:val="007A050D"/>
    <w:rsid w:val="007A55AD"/>
    <w:rsid w:val="007A6F11"/>
    <w:rsid w:val="007B090D"/>
    <w:rsid w:val="007B0C80"/>
    <w:rsid w:val="007B1B46"/>
    <w:rsid w:val="007B4166"/>
    <w:rsid w:val="007B55CD"/>
    <w:rsid w:val="007B73E1"/>
    <w:rsid w:val="007C0076"/>
    <w:rsid w:val="007C0F6C"/>
    <w:rsid w:val="007C4B7B"/>
    <w:rsid w:val="007D02E3"/>
    <w:rsid w:val="007D2F38"/>
    <w:rsid w:val="007D4C4C"/>
    <w:rsid w:val="007D583C"/>
    <w:rsid w:val="007E1172"/>
    <w:rsid w:val="007E1785"/>
    <w:rsid w:val="007E21A0"/>
    <w:rsid w:val="007E24AC"/>
    <w:rsid w:val="007E2C42"/>
    <w:rsid w:val="007E375A"/>
    <w:rsid w:val="007E3E6C"/>
    <w:rsid w:val="007E4B31"/>
    <w:rsid w:val="007E4FFF"/>
    <w:rsid w:val="007E6890"/>
    <w:rsid w:val="007E728D"/>
    <w:rsid w:val="007E7BB9"/>
    <w:rsid w:val="007E7C87"/>
    <w:rsid w:val="007F4519"/>
    <w:rsid w:val="007F6122"/>
    <w:rsid w:val="007F7074"/>
    <w:rsid w:val="00800227"/>
    <w:rsid w:val="00800A19"/>
    <w:rsid w:val="008018C6"/>
    <w:rsid w:val="00804DCD"/>
    <w:rsid w:val="00805CF0"/>
    <w:rsid w:val="008118E9"/>
    <w:rsid w:val="00816926"/>
    <w:rsid w:val="0081781F"/>
    <w:rsid w:val="008213C4"/>
    <w:rsid w:val="00822D1E"/>
    <w:rsid w:val="0082428D"/>
    <w:rsid w:val="00830F82"/>
    <w:rsid w:val="00835843"/>
    <w:rsid w:val="00835C79"/>
    <w:rsid w:val="00840763"/>
    <w:rsid w:val="008417D2"/>
    <w:rsid w:val="008417EA"/>
    <w:rsid w:val="00841EE7"/>
    <w:rsid w:val="00842C47"/>
    <w:rsid w:val="0084453C"/>
    <w:rsid w:val="0084528F"/>
    <w:rsid w:val="00847999"/>
    <w:rsid w:val="00851D1B"/>
    <w:rsid w:val="00854660"/>
    <w:rsid w:val="00854755"/>
    <w:rsid w:val="00861AAD"/>
    <w:rsid w:val="00862786"/>
    <w:rsid w:val="008669F6"/>
    <w:rsid w:val="008710D0"/>
    <w:rsid w:val="00871DD9"/>
    <w:rsid w:val="008728F2"/>
    <w:rsid w:val="00872BD4"/>
    <w:rsid w:val="00874B80"/>
    <w:rsid w:val="00874D4E"/>
    <w:rsid w:val="0087618D"/>
    <w:rsid w:val="00880910"/>
    <w:rsid w:val="00881F03"/>
    <w:rsid w:val="00882F46"/>
    <w:rsid w:val="00884DE2"/>
    <w:rsid w:val="00886331"/>
    <w:rsid w:val="00887E6E"/>
    <w:rsid w:val="008903FA"/>
    <w:rsid w:val="00890F02"/>
    <w:rsid w:val="008914A9"/>
    <w:rsid w:val="00891F51"/>
    <w:rsid w:val="00893C01"/>
    <w:rsid w:val="00895D4E"/>
    <w:rsid w:val="008968DD"/>
    <w:rsid w:val="00897E3A"/>
    <w:rsid w:val="008A053A"/>
    <w:rsid w:val="008A1043"/>
    <w:rsid w:val="008A3537"/>
    <w:rsid w:val="008A40A8"/>
    <w:rsid w:val="008A4EA5"/>
    <w:rsid w:val="008A6055"/>
    <w:rsid w:val="008A607B"/>
    <w:rsid w:val="008A62D5"/>
    <w:rsid w:val="008B0212"/>
    <w:rsid w:val="008B05DD"/>
    <w:rsid w:val="008B0778"/>
    <w:rsid w:val="008B1785"/>
    <w:rsid w:val="008B33ED"/>
    <w:rsid w:val="008B3CCA"/>
    <w:rsid w:val="008B66A8"/>
    <w:rsid w:val="008B6B2F"/>
    <w:rsid w:val="008C5679"/>
    <w:rsid w:val="008C6626"/>
    <w:rsid w:val="008D2ACF"/>
    <w:rsid w:val="008D67AE"/>
    <w:rsid w:val="008E2B1A"/>
    <w:rsid w:val="008E5F56"/>
    <w:rsid w:val="008E64EF"/>
    <w:rsid w:val="008F095E"/>
    <w:rsid w:val="008F2528"/>
    <w:rsid w:val="008F40F5"/>
    <w:rsid w:val="008F6F19"/>
    <w:rsid w:val="00900660"/>
    <w:rsid w:val="00900669"/>
    <w:rsid w:val="00900A9C"/>
    <w:rsid w:val="009025DA"/>
    <w:rsid w:val="009035E7"/>
    <w:rsid w:val="0090554E"/>
    <w:rsid w:val="0091016F"/>
    <w:rsid w:val="00911C5E"/>
    <w:rsid w:val="009123B9"/>
    <w:rsid w:val="00912BD7"/>
    <w:rsid w:val="0091392B"/>
    <w:rsid w:val="009167CE"/>
    <w:rsid w:val="00921C82"/>
    <w:rsid w:val="00922DB2"/>
    <w:rsid w:val="00925868"/>
    <w:rsid w:val="00933869"/>
    <w:rsid w:val="00935590"/>
    <w:rsid w:val="009355E8"/>
    <w:rsid w:val="00936197"/>
    <w:rsid w:val="009362C1"/>
    <w:rsid w:val="009409E1"/>
    <w:rsid w:val="0094105A"/>
    <w:rsid w:val="0095528B"/>
    <w:rsid w:val="0095697C"/>
    <w:rsid w:val="00961F5C"/>
    <w:rsid w:val="00962698"/>
    <w:rsid w:val="0096361B"/>
    <w:rsid w:val="00963C72"/>
    <w:rsid w:val="00964B41"/>
    <w:rsid w:val="0096521C"/>
    <w:rsid w:val="00970C19"/>
    <w:rsid w:val="00971109"/>
    <w:rsid w:val="00971C71"/>
    <w:rsid w:val="009725B3"/>
    <w:rsid w:val="0097293C"/>
    <w:rsid w:val="00972C82"/>
    <w:rsid w:val="00974C7B"/>
    <w:rsid w:val="009757BF"/>
    <w:rsid w:val="00975EDA"/>
    <w:rsid w:val="00980FE3"/>
    <w:rsid w:val="009813C0"/>
    <w:rsid w:val="00982373"/>
    <w:rsid w:val="0098304A"/>
    <w:rsid w:val="0098428A"/>
    <w:rsid w:val="009845B0"/>
    <w:rsid w:val="00987A2F"/>
    <w:rsid w:val="00993991"/>
    <w:rsid w:val="009A066E"/>
    <w:rsid w:val="009A3BB0"/>
    <w:rsid w:val="009A58EB"/>
    <w:rsid w:val="009A6216"/>
    <w:rsid w:val="009A6217"/>
    <w:rsid w:val="009A7003"/>
    <w:rsid w:val="009A761F"/>
    <w:rsid w:val="009A7892"/>
    <w:rsid w:val="009A7FAE"/>
    <w:rsid w:val="009B08BA"/>
    <w:rsid w:val="009B0EBC"/>
    <w:rsid w:val="009B1957"/>
    <w:rsid w:val="009B2A94"/>
    <w:rsid w:val="009B3513"/>
    <w:rsid w:val="009B512C"/>
    <w:rsid w:val="009C015B"/>
    <w:rsid w:val="009C0761"/>
    <w:rsid w:val="009C0A6F"/>
    <w:rsid w:val="009C15D4"/>
    <w:rsid w:val="009C4B25"/>
    <w:rsid w:val="009C5069"/>
    <w:rsid w:val="009C558E"/>
    <w:rsid w:val="009C7E87"/>
    <w:rsid w:val="009D008F"/>
    <w:rsid w:val="009D19AA"/>
    <w:rsid w:val="009D27E2"/>
    <w:rsid w:val="009D3029"/>
    <w:rsid w:val="009D3E72"/>
    <w:rsid w:val="009D3E9E"/>
    <w:rsid w:val="009D732B"/>
    <w:rsid w:val="009E023D"/>
    <w:rsid w:val="009E40CA"/>
    <w:rsid w:val="009E46A6"/>
    <w:rsid w:val="009E5D89"/>
    <w:rsid w:val="009E6CA6"/>
    <w:rsid w:val="009F31FF"/>
    <w:rsid w:val="009F3A14"/>
    <w:rsid w:val="009F5314"/>
    <w:rsid w:val="009F7F6D"/>
    <w:rsid w:val="00A0183E"/>
    <w:rsid w:val="00A0264D"/>
    <w:rsid w:val="00A1297A"/>
    <w:rsid w:val="00A13159"/>
    <w:rsid w:val="00A146ED"/>
    <w:rsid w:val="00A147F4"/>
    <w:rsid w:val="00A15B9A"/>
    <w:rsid w:val="00A165F2"/>
    <w:rsid w:val="00A16669"/>
    <w:rsid w:val="00A1764F"/>
    <w:rsid w:val="00A17D42"/>
    <w:rsid w:val="00A17E9E"/>
    <w:rsid w:val="00A20A18"/>
    <w:rsid w:val="00A238A4"/>
    <w:rsid w:val="00A240DA"/>
    <w:rsid w:val="00A26131"/>
    <w:rsid w:val="00A26E67"/>
    <w:rsid w:val="00A2702E"/>
    <w:rsid w:val="00A27E44"/>
    <w:rsid w:val="00A33301"/>
    <w:rsid w:val="00A33F85"/>
    <w:rsid w:val="00A346D6"/>
    <w:rsid w:val="00A3540B"/>
    <w:rsid w:val="00A35CDF"/>
    <w:rsid w:val="00A36866"/>
    <w:rsid w:val="00A4086E"/>
    <w:rsid w:val="00A41ACB"/>
    <w:rsid w:val="00A42A7C"/>
    <w:rsid w:val="00A441AE"/>
    <w:rsid w:val="00A4582C"/>
    <w:rsid w:val="00A47E12"/>
    <w:rsid w:val="00A5367E"/>
    <w:rsid w:val="00A53755"/>
    <w:rsid w:val="00A54724"/>
    <w:rsid w:val="00A567A4"/>
    <w:rsid w:val="00A6647F"/>
    <w:rsid w:val="00A70146"/>
    <w:rsid w:val="00A70592"/>
    <w:rsid w:val="00A712C3"/>
    <w:rsid w:val="00A71EC5"/>
    <w:rsid w:val="00A726EA"/>
    <w:rsid w:val="00A735F3"/>
    <w:rsid w:val="00A76097"/>
    <w:rsid w:val="00A76F0C"/>
    <w:rsid w:val="00A777CF"/>
    <w:rsid w:val="00A77CBB"/>
    <w:rsid w:val="00A8023F"/>
    <w:rsid w:val="00A80ADE"/>
    <w:rsid w:val="00A83AAE"/>
    <w:rsid w:val="00A843BE"/>
    <w:rsid w:val="00A90682"/>
    <w:rsid w:val="00A907BD"/>
    <w:rsid w:val="00A92998"/>
    <w:rsid w:val="00A92D9D"/>
    <w:rsid w:val="00A937E7"/>
    <w:rsid w:val="00A93F18"/>
    <w:rsid w:val="00A95C52"/>
    <w:rsid w:val="00A963C6"/>
    <w:rsid w:val="00AA136D"/>
    <w:rsid w:val="00AA2E22"/>
    <w:rsid w:val="00AA4B3B"/>
    <w:rsid w:val="00AA5EAD"/>
    <w:rsid w:val="00AA5F95"/>
    <w:rsid w:val="00AA73E1"/>
    <w:rsid w:val="00AB1A47"/>
    <w:rsid w:val="00AB54E5"/>
    <w:rsid w:val="00AB73E8"/>
    <w:rsid w:val="00AC3FBA"/>
    <w:rsid w:val="00AC4CD0"/>
    <w:rsid w:val="00AC68A5"/>
    <w:rsid w:val="00AC6CFA"/>
    <w:rsid w:val="00AC7537"/>
    <w:rsid w:val="00AC7D2E"/>
    <w:rsid w:val="00AD0879"/>
    <w:rsid w:val="00AD21D7"/>
    <w:rsid w:val="00AD21DE"/>
    <w:rsid w:val="00AD6404"/>
    <w:rsid w:val="00AD72C4"/>
    <w:rsid w:val="00AD73D6"/>
    <w:rsid w:val="00AE2B53"/>
    <w:rsid w:val="00AE30C0"/>
    <w:rsid w:val="00AF488D"/>
    <w:rsid w:val="00AF6119"/>
    <w:rsid w:val="00B04218"/>
    <w:rsid w:val="00B04F96"/>
    <w:rsid w:val="00B076B9"/>
    <w:rsid w:val="00B103B6"/>
    <w:rsid w:val="00B10DF8"/>
    <w:rsid w:val="00B1335A"/>
    <w:rsid w:val="00B21352"/>
    <w:rsid w:val="00B24A1C"/>
    <w:rsid w:val="00B25397"/>
    <w:rsid w:val="00B27C34"/>
    <w:rsid w:val="00B30115"/>
    <w:rsid w:val="00B30285"/>
    <w:rsid w:val="00B32110"/>
    <w:rsid w:val="00B35FA4"/>
    <w:rsid w:val="00B4126E"/>
    <w:rsid w:val="00B42124"/>
    <w:rsid w:val="00B52922"/>
    <w:rsid w:val="00B53D64"/>
    <w:rsid w:val="00B53ECD"/>
    <w:rsid w:val="00B5542A"/>
    <w:rsid w:val="00B556CA"/>
    <w:rsid w:val="00B5655D"/>
    <w:rsid w:val="00B60DDA"/>
    <w:rsid w:val="00B60E8A"/>
    <w:rsid w:val="00B62C82"/>
    <w:rsid w:val="00B64628"/>
    <w:rsid w:val="00B6528E"/>
    <w:rsid w:val="00B65A42"/>
    <w:rsid w:val="00B66B56"/>
    <w:rsid w:val="00B72548"/>
    <w:rsid w:val="00B727C2"/>
    <w:rsid w:val="00B739BC"/>
    <w:rsid w:val="00B75278"/>
    <w:rsid w:val="00B77AD7"/>
    <w:rsid w:val="00B813D6"/>
    <w:rsid w:val="00B84B42"/>
    <w:rsid w:val="00B866CE"/>
    <w:rsid w:val="00B8738A"/>
    <w:rsid w:val="00B90AF1"/>
    <w:rsid w:val="00B90FCD"/>
    <w:rsid w:val="00B92AA3"/>
    <w:rsid w:val="00B92F9F"/>
    <w:rsid w:val="00B94A4C"/>
    <w:rsid w:val="00BA2432"/>
    <w:rsid w:val="00BA2453"/>
    <w:rsid w:val="00BB05E1"/>
    <w:rsid w:val="00BB0962"/>
    <w:rsid w:val="00BB5763"/>
    <w:rsid w:val="00BB5BE0"/>
    <w:rsid w:val="00BB5F78"/>
    <w:rsid w:val="00BB6C02"/>
    <w:rsid w:val="00BB77DD"/>
    <w:rsid w:val="00BC19C5"/>
    <w:rsid w:val="00BC21CF"/>
    <w:rsid w:val="00BC4BF2"/>
    <w:rsid w:val="00BC54A3"/>
    <w:rsid w:val="00BC684C"/>
    <w:rsid w:val="00BC6A12"/>
    <w:rsid w:val="00BC7084"/>
    <w:rsid w:val="00BD03B6"/>
    <w:rsid w:val="00BD402E"/>
    <w:rsid w:val="00BD40DC"/>
    <w:rsid w:val="00BD47B6"/>
    <w:rsid w:val="00BD6621"/>
    <w:rsid w:val="00BD75CF"/>
    <w:rsid w:val="00BD7935"/>
    <w:rsid w:val="00BD799D"/>
    <w:rsid w:val="00BD7C39"/>
    <w:rsid w:val="00BE4ADA"/>
    <w:rsid w:val="00BE5F9D"/>
    <w:rsid w:val="00BE6AB3"/>
    <w:rsid w:val="00BE7451"/>
    <w:rsid w:val="00BF13C8"/>
    <w:rsid w:val="00BF4363"/>
    <w:rsid w:val="00BF47D8"/>
    <w:rsid w:val="00BF58B8"/>
    <w:rsid w:val="00BF6FC8"/>
    <w:rsid w:val="00C06831"/>
    <w:rsid w:val="00C07ABD"/>
    <w:rsid w:val="00C10A2E"/>
    <w:rsid w:val="00C10A47"/>
    <w:rsid w:val="00C1138A"/>
    <w:rsid w:val="00C12370"/>
    <w:rsid w:val="00C166F2"/>
    <w:rsid w:val="00C26B6D"/>
    <w:rsid w:val="00C27E49"/>
    <w:rsid w:val="00C30A8D"/>
    <w:rsid w:val="00C30AFF"/>
    <w:rsid w:val="00C31287"/>
    <w:rsid w:val="00C33F59"/>
    <w:rsid w:val="00C379A6"/>
    <w:rsid w:val="00C37B8F"/>
    <w:rsid w:val="00C42F0E"/>
    <w:rsid w:val="00C46624"/>
    <w:rsid w:val="00C46D38"/>
    <w:rsid w:val="00C501A9"/>
    <w:rsid w:val="00C51461"/>
    <w:rsid w:val="00C54F55"/>
    <w:rsid w:val="00C5520D"/>
    <w:rsid w:val="00C55EA4"/>
    <w:rsid w:val="00C61B25"/>
    <w:rsid w:val="00C66995"/>
    <w:rsid w:val="00C670E7"/>
    <w:rsid w:val="00C67514"/>
    <w:rsid w:val="00C6762A"/>
    <w:rsid w:val="00C70417"/>
    <w:rsid w:val="00C73FE4"/>
    <w:rsid w:val="00C74B12"/>
    <w:rsid w:val="00C807CC"/>
    <w:rsid w:val="00C837DF"/>
    <w:rsid w:val="00C84FDE"/>
    <w:rsid w:val="00C85279"/>
    <w:rsid w:val="00C8542F"/>
    <w:rsid w:val="00C8617B"/>
    <w:rsid w:val="00C87F39"/>
    <w:rsid w:val="00C90AA1"/>
    <w:rsid w:val="00C91BD6"/>
    <w:rsid w:val="00C91C91"/>
    <w:rsid w:val="00C92162"/>
    <w:rsid w:val="00C94644"/>
    <w:rsid w:val="00C94B41"/>
    <w:rsid w:val="00C96745"/>
    <w:rsid w:val="00C96BB0"/>
    <w:rsid w:val="00C977AA"/>
    <w:rsid w:val="00C979D5"/>
    <w:rsid w:val="00CA1898"/>
    <w:rsid w:val="00CA1A16"/>
    <w:rsid w:val="00CA2226"/>
    <w:rsid w:val="00CA299B"/>
    <w:rsid w:val="00CA39E3"/>
    <w:rsid w:val="00CA553E"/>
    <w:rsid w:val="00CA590B"/>
    <w:rsid w:val="00CA647C"/>
    <w:rsid w:val="00CA6AA3"/>
    <w:rsid w:val="00CB0ED6"/>
    <w:rsid w:val="00CB2BBE"/>
    <w:rsid w:val="00CB3C44"/>
    <w:rsid w:val="00CB46C0"/>
    <w:rsid w:val="00CB78E0"/>
    <w:rsid w:val="00CC1D95"/>
    <w:rsid w:val="00CC22D4"/>
    <w:rsid w:val="00CC27E0"/>
    <w:rsid w:val="00CC2857"/>
    <w:rsid w:val="00CC72E8"/>
    <w:rsid w:val="00CD2DAE"/>
    <w:rsid w:val="00CD366E"/>
    <w:rsid w:val="00CD3E05"/>
    <w:rsid w:val="00CD785D"/>
    <w:rsid w:val="00CD78D0"/>
    <w:rsid w:val="00CE0EB7"/>
    <w:rsid w:val="00CE2C12"/>
    <w:rsid w:val="00CE2CCE"/>
    <w:rsid w:val="00CE2E0D"/>
    <w:rsid w:val="00CE3668"/>
    <w:rsid w:val="00CE37BB"/>
    <w:rsid w:val="00CE4983"/>
    <w:rsid w:val="00CE6A89"/>
    <w:rsid w:val="00CE70B2"/>
    <w:rsid w:val="00CF4975"/>
    <w:rsid w:val="00CF5E7F"/>
    <w:rsid w:val="00CF6732"/>
    <w:rsid w:val="00CF6B59"/>
    <w:rsid w:val="00D02844"/>
    <w:rsid w:val="00D02C1C"/>
    <w:rsid w:val="00D03F09"/>
    <w:rsid w:val="00D04A8A"/>
    <w:rsid w:val="00D06EAD"/>
    <w:rsid w:val="00D11DA0"/>
    <w:rsid w:val="00D11FBB"/>
    <w:rsid w:val="00D12F1F"/>
    <w:rsid w:val="00D14A27"/>
    <w:rsid w:val="00D163F2"/>
    <w:rsid w:val="00D20EB1"/>
    <w:rsid w:val="00D22722"/>
    <w:rsid w:val="00D22F76"/>
    <w:rsid w:val="00D26154"/>
    <w:rsid w:val="00D3079E"/>
    <w:rsid w:val="00D34264"/>
    <w:rsid w:val="00D34E16"/>
    <w:rsid w:val="00D3626E"/>
    <w:rsid w:val="00D3651D"/>
    <w:rsid w:val="00D37622"/>
    <w:rsid w:val="00D376BF"/>
    <w:rsid w:val="00D4380C"/>
    <w:rsid w:val="00D45CE8"/>
    <w:rsid w:val="00D46162"/>
    <w:rsid w:val="00D47670"/>
    <w:rsid w:val="00D4789E"/>
    <w:rsid w:val="00D5267E"/>
    <w:rsid w:val="00D52DBD"/>
    <w:rsid w:val="00D53D94"/>
    <w:rsid w:val="00D555BE"/>
    <w:rsid w:val="00D55E6C"/>
    <w:rsid w:val="00D5638E"/>
    <w:rsid w:val="00D61D85"/>
    <w:rsid w:val="00D6697D"/>
    <w:rsid w:val="00D66CDE"/>
    <w:rsid w:val="00D670E0"/>
    <w:rsid w:val="00D671A7"/>
    <w:rsid w:val="00D70020"/>
    <w:rsid w:val="00D714A5"/>
    <w:rsid w:val="00D720C1"/>
    <w:rsid w:val="00D7327A"/>
    <w:rsid w:val="00D75D25"/>
    <w:rsid w:val="00D77595"/>
    <w:rsid w:val="00D87150"/>
    <w:rsid w:val="00D908A2"/>
    <w:rsid w:val="00D92560"/>
    <w:rsid w:val="00D93E0D"/>
    <w:rsid w:val="00D950A2"/>
    <w:rsid w:val="00D962AF"/>
    <w:rsid w:val="00DA680F"/>
    <w:rsid w:val="00DA7198"/>
    <w:rsid w:val="00DA73D4"/>
    <w:rsid w:val="00DA794E"/>
    <w:rsid w:val="00DB04F3"/>
    <w:rsid w:val="00DB4397"/>
    <w:rsid w:val="00DB5AAD"/>
    <w:rsid w:val="00DB5E15"/>
    <w:rsid w:val="00DB6C92"/>
    <w:rsid w:val="00DB75AC"/>
    <w:rsid w:val="00DC1516"/>
    <w:rsid w:val="00DC2D9D"/>
    <w:rsid w:val="00DC4B65"/>
    <w:rsid w:val="00DC62D5"/>
    <w:rsid w:val="00DD3219"/>
    <w:rsid w:val="00DD4D13"/>
    <w:rsid w:val="00DD4D87"/>
    <w:rsid w:val="00DD597E"/>
    <w:rsid w:val="00DD784A"/>
    <w:rsid w:val="00DE0893"/>
    <w:rsid w:val="00DE246E"/>
    <w:rsid w:val="00DE2B5C"/>
    <w:rsid w:val="00DE3156"/>
    <w:rsid w:val="00DE424A"/>
    <w:rsid w:val="00DE5F2B"/>
    <w:rsid w:val="00DE6770"/>
    <w:rsid w:val="00DE68C1"/>
    <w:rsid w:val="00DF0D7B"/>
    <w:rsid w:val="00DF2D0C"/>
    <w:rsid w:val="00DF3803"/>
    <w:rsid w:val="00DF48C0"/>
    <w:rsid w:val="00DF5665"/>
    <w:rsid w:val="00DF5CE2"/>
    <w:rsid w:val="00DF7720"/>
    <w:rsid w:val="00E0101C"/>
    <w:rsid w:val="00E01578"/>
    <w:rsid w:val="00E0158C"/>
    <w:rsid w:val="00E01EB8"/>
    <w:rsid w:val="00E02B5D"/>
    <w:rsid w:val="00E04460"/>
    <w:rsid w:val="00E054E2"/>
    <w:rsid w:val="00E05758"/>
    <w:rsid w:val="00E0715D"/>
    <w:rsid w:val="00E1253D"/>
    <w:rsid w:val="00E15428"/>
    <w:rsid w:val="00E157AC"/>
    <w:rsid w:val="00E162D3"/>
    <w:rsid w:val="00E254F2"/>
    <w:rsid w:val="00E261F8"/>
    <w:rsid w:val="00E320BE"/>
    <w:rsid w:val="00E32219"/>
    <w:rsid w:val="00E33EF1"/>
    <w:rsid w:val="00E3551E"/>
    <w:rsid w:val="00E35E83"/>
    <w:rsid w:val="00E40BAE"/>
    <w:rsid w:val="00E41097"/>
    <w:rsid w:val="00E4212C"/>
    <w:rsid w:val="00E439CE"/>
    <w:rsid w:val="00E46A0C"/>
    <w:rsid w:val="00E511D4"/>
    <w:rsid w:val="00E5405B"/>
    <w:rsid w:val="00E54C26"/>
    <w:rsid w:val="00E56B38"/>
    <w:rsid w:val="00E56E0C"/>
    <w:rsid w:val="00E56E65"/>
    <w:rsid w:val="00E60A47"/>
    <w:rsid w:val="00E646DA"/>
    <w:rsid w:val="00E65A1A"/>
    <w:rsid w:val="00E67285"/>
    <w:rsid w:val="00E67C55"/>
    <w:rsid w:val="00E67F29"/>
    <w:rsid w:val="00E70A5E"/>
    <w:rsid w:val="00E72E43"/>
    <w:rsid w:val="00E748D2"/>
    <w:rsid w:val="00E75329"/>
    <w:rsid w:val="00E7622A"/>
    <w:rsid w:val="00E76F66"/>
    <w:rsid w:val="00E8099D"/>
    <w:rsid w:val="00E82813"/>
    <w:rsid w:val="00E83579"/>
    <w:rsid w:val="00E836E8"/>
    <w:rsid w:val="00E84035"/>
    <w:rsid w:val="00E9089D"/>
    <w:rsid w:val="00E95998"/>
    <w:rsid w:val="00E96088"/>
    <w:rsid w:val="00EA0283"/>
    <w:rsid w:val="00EA1CC4"/>
    <w:rsid w:val="00EA32E8"/>
    <w:rsid w:val="00EA417E"/>
    <w:rsid w:val="00EA6A66"/>
    <w:rsid w:val="00EB034B"/>
    <w:rsid w:val="00EB0365"/>
    <w:rsid w:val="00EB08DF"/>
    <w:rsid w:val="00EB13D0"/>
    <w:rsid w:val="00EB35D0"/>
    <w:rsid w:val="00EC0243"/>
    <w:rsid w:val="00EC0B42"/>
    <w:rsid w:val="00EC1334"/>
    <w:rsid w:val="00EC3D4C"/>
    <w:rsid w:val="00EC466D"/>
    <w:rsid w:val="00EC6EE7"/>
    <w:rsid w:val="00ED09A8"/>
    <w:rsid w:val="00ED3849"/>
    <w:rsid w:val="00ED41E9"/>
    <w:rsid w:val="00ED52D1"/>
    <w:rsid w:val="00EE0395"/>
    <w:rsid w:val="00EE0E87"/>
    <w:rsid w:val="00EE2F1F"/>
    <w:rsid w:val="00EF25E6"/>
    <w:rsid w:val="00EF316A"/>
    <w:rsid w:val="00EF6D9D"/>
    <w:rsid w:val="00F02BDC"/>
    <w:rsid w:val="00F02E64"/>
    <w:rsid w:val="00F047BC"/>
    <w:rsid w:val="00F07EBF"/>
    <w:rsid w:val="00F17BAD"/>
    <w:rsid w:val="00F17C66"/>
    <w:rsid w:val="00F17EF6"/>
    <w:rsid w:val="00F20B4D"/>
    <w:rsid w:val="00F231A4"/>
    <w:rsid w:val="00F24806"/>
    <w:rsid w:val="00F253E4"/>
    <w:rsid w:val="00F25A49"/>
    <w:rsid w:val="00F269C5"/>
    <w:rsid w:val="00F270CA"/>
    <w:rsid w:val="00F30C55"/>
    <w:rsid w:val="00F30DE4"/>
    <w:rsid w:val="00F32715"/>
    <w:rsid w:val="00F332D4"/>
    <w:rsid w:val="00F365F3"/>
    <w:rsid w:val="00F366D3"/>
    <w:rsid w:val="00F423D1"/>
    <w:rsid w:val="00F44599"/>
    <w:rsid w:val="00F45326"/>
    <w:rsid w:val="00F45C5C"/>
    <w:rsid w:val="00F46211"/>
    <w:rsid w:val="00F46431"/>
    <w:rsid w:val="00F50651"/>
    <w:rsid w:val="00F50BE1"/>
    <w:rsid w:val="00F519E0"/>
    <w:rsid w:val="00F51AE5"/>
    <w:rsid w:val="00F52959"/>
    <w:rsid w:val="00F530C9"/>
    <w:rsid w:val="00F53C5D"/>
    <w:rsid w:val="00F55C65"/>
    <w:rsid w:val="00F56F3F"/>
    <w:rsid w:val="00F5737B"/>
    <w:rsid w:val="00F62AFD"/>
    <w:rsid w:val="00F63E36"/>
    <w:rsid w:val="00F6739C"/>
    <w:rsid w:val="00F67B68"/>
    <w:rsid w:val="00F715AB"/>
    <w:rsid w:val="00F76355"/>
    <w:rsid w:val="00F763E4"/>
    <w:rsid w:val="00F81381"/>
    <w:rsid w:val="00F81852"/>
    <w:rsid w:val="00F82513"/>
    <w:rsid w:val="00F8349D"/>
    <w:rsid w:val="00F85088"/>
    <w:rsid w:val="00F857B0"/>
    <w:rsid w:val="00F8581E"/>
    <w:rsid w:val="00F904B7"/>
    <w:rsid w:val="00F9369B"/>
    <w:rsid w:val="00FA1E5C"/>
    <w:rsid w:val="00FA2C5E"/>
    <w:rsid w:val="00FA3484"/>
    <w:rsid w:val="00FA3D64"/>
    <w:rsid w:val="00FA422C"/>
    <w:rsid w:val="00FA4637"/>
    <w:rsid w:val="00FA4CD7"/>
    <w:rsid w:val="00FA5B93"/>
    <w:rsid w:val="00FB18C2"/>
    <w:rsid w:val="00FB24EB"/>
    <w:rsid w:val="00FB2E4F"/>
    <w:rsid w:val="00FB2F35"/>
    <w:rsid w:val="00FB4757"/>
    <w:rsid w:val="00FB4952"/>
    <w:rsid w:val="00FB71E3"/>
    <w:rsid w:val="00FC0720"/>
    <w:rsid w:val="00FC0BE0"/>
    <w:rsid w:val="00FC1B0E"/>
    <w:rsid w:val="00FC41C3"/>
    <w:rsid w:val="00FC5961"/>
    <w:rsid w:val="00FD14CF"/>
    <w:rsid w:val="00FD2960"/>
    <w:rsid w:val="00FD2F2B"/>
    <w:rsid w:val="00FD3B70"/>
    <w:rsid w:val="00FE0405"/>
    <w:rsid w:val="00FE69D4"/>
    <w:rsid w:val="00FE743F"/>
    <w:rsid w:val="00FE75F7"/>
    <w:rsid w:val="00FE7602"/>
    <w:rsid w:val="00FE76F9"/>
    <w:rsid w:val="00FF0150"/>
    <w:rsid w:val="00FF224B"/>
    <w:rsid w:val="00FF497E"/>
    <w:rsid w:val="00FF4AB3"/>
    <w:rsid w:val="00FF5D72"/>
    <w:rsid w:val="00FF5ED9"/>
    <w:rsid w:val="00FF60EE"/>
    <w:rsid w:val="02B5BE58"/>
    <w:rsid w:val="032FD225"/>
    <w:rsid w:val="23FA425E"/>
    <w:rsid w:val="47949F55"/>
    <w:rsid w:val="54F73084"/>
    <w:rsid w:val="5AF3B34E"/>
    <w:rsid w:val="5DBF86BD"/>
    <w:rsid w:val="6938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92F7FD"/>
  <w15:docId w15:val="{05406B67-8C7B-4AD5-84CA-669242A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4F3"/>
    <w:rPr>
      <w:rFonts w:ascii="Calibri" w:hAnsi="Calibri"/>
      <w:sz w:val="22"/>
      <w:szCs w:val="24"/>
      <w:lang w:eastAsia="en-US"/>
    </w:rPr>
  </w:style>
  <w:style w:type="paragraph" w:styleId="Heading1">
    <w:name w:val="heading 1"/>
    <w:basedOn w:val="Normal"/>
    <w:next w:val="Normal"/>
    <w:link w:val="Heading1Char"/>
    <w:qFormat/>
    <w:rsid w:val="00900660"/>
    <w:pPr>
      <w:keepNext/>
      <w:outlineLvl w:val="0"/>
    </w:pPr>
    <w:rPr>
      <w:b/>
      <w:bCs/>
      <w:sz w:val="48"/>
    </w:rPr>
  </w:style>
  <w:style w:type="paragraph" w:styleId="Heading2">
    <w:name w:val="heading 2"/>
    <w:basedOn w:val="Normal"/>
    <w:next w:val="Normal"/>
    <w:qFormat/>
    <w:rsid w:val="006A3439"/>
    <w:pPr>
      <w:keepNext/>
      <w:spacing w:before="240" w:after="60"/>
      <w:ind w:left="-284"/>
      <w:outlineLvl w:val="1"/>
    </w:pPr>
    <w:rPr>
      <w:rFonts w:cs="Arial"/>
      <w:b/>
      <w:bCs/>
      <w:iCs/>
      <w:sz w:val="32"/>
    </w:rPr>
  </w:style>
  <w:style w:type="paragraph" w:styleId="Heading3">
    <w:name w:val="heading 3"/>
    <w:basedOn w:val="Normal"/>
    <w:next w:val="Normal"/>
    <w:qFormat/>
    <w:rsid w:val="009569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73E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73E7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935"/>
    <w:pPr>
      <w:tabs>
        <w:tab w:val="center" w:pos="4153"/>
        <w:tab w:val="right" w:pos="8306"/>
      </w:tabs>
    </w:pPr>
  </w:style>
  <w:style w:type="paragraph" w:styleId="Footer">
    <w:name w:val="footer"/>
    <w:basedOn w:val="Normal"/>
    <w:link w:val="FooterChar"/>
    <w:uiPriority w:val="99"/>
    <w:rsid w:val="00795935"/>
    <w:pPr>
      <w:tabs>
        <w:tab w:val="center" w:pos="4153"/>
        <w:tab w:val="right" w:pos="8306"/>
      </w:tabs>
    </w:pPr>
    <w:rPr>
      <w:rFonts w:ascii="Times New Roman" w:hAnsi="Times New Roman"/>
      <w:sz w:val="24"/>
    </w:rPr>
  </w:style>
  <w:style w:type="character" w:styleId="PageNumber">
    <w:name w:val="page number"/>
    <w:basedOn w:val="DefaultParagraphFont"/>
    <w:rsid w:val="00C51461"/>
  </w:style>
  <w:style w:type="table" w:styleId="TableGrid">
    <w:name w:val="Table Grid"/>
    <w:basedOn w:val="TableNormal"/>
    <w:rsid w:val="00E3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5697C"/>
    <w:rPr>
      <w:sz w:val="16"/>
      <w:szCs w:val="16"/>
    </w:rPr>
  </w:style>
  <w:style w:type="paragraph" w:styleId="CommentText">
    <w:name w:val="annotation text"/>
    <w:basedOn w:val="Normal"/>
    <w:link w:val="CommentTextChar"/>
    <w:uiPriority w:val="99"/>
    <w:rsid w:val="0095697C"/>
    <w:rPr>
      <w:sz w:val="20"/>
      <w:szCs w:val="20"/>
    </w:rPr>
  </w:style>
  <w:style w:type="paragraph" w:styleId="CommentSubject">
    <w:name w:val="annotation subject"/>
    <w:basedOn w:val="CommentText"/>
    <w:next w:val="CommentText"/>
    <w:semiHidden/>
    <w:rsid w:val="0095697C"/>
    <w:rPr>
      <w:b/>
      <w:bCs/>
    </w:rPr>
  </w:style>
  <w:style w:type="paragraph" w:styleId="BalloonText">
    <w:name w:val="Balloon Text"/>
    <w:basedOn w:val="Normal"/>
    <w:semiHidden/>
    <w:rsid w:val="0095697C"/>
    <w:rPr>
      <w:rFonts w:ascii="Tahoma" w:hAnsi="Tahoma" w:cs="Tahoma"/>
      <w:sz w:val="16"/>
      <w:szCs w:val="16"/>
    </w:rPr>
  </w:style>
  <w:style w:type="character" w:styleId="Hyperlink">
    <w:name w:val="Hyperlink"/>
    <w:uiPriority w:val="99"/>
    <w:rsid w:val="00D376BF"/>
    <w:rPr>
      <w:color w:val="0000FF"/>
      <w:u w:val="single"/>
    </w:rPr>
  </w:style>
  <w:style w:type="paragraph" w:customStyle="1" w:styleId="Default">
    <w:name w:val="Default"/>
    <w:rsid w:val="002A02CF"/>
    <w:pPr>
      <w:autoSpaceDE w:val="0"/>
      <w:autoSpaceDN w:val="0"/>
      <w:adjustRightInd w:val="0"/>
    </w:pPr>
    <w:rPr>
      <w:rFonts w:ascii="Arial" w:hAnsi="Arial" w:cs="Arial"/>
      <w:color w:val="000000"/>
      <w:sz w:val="24"/>
      <w:szCs w:val="24"/>
    </w:rPr>
  </w:style>
  <w:style w:type="paragraph" w:styleId="BodyText2">
    <w:name w:val="Body Text 2"/>
    <w:basedOn w:val="Normal"/>
    <w:rsid w:val="003F31E2"/>
    <w:rPr>
      <w:rFonts w:ascii="Arial" w:hAnsi="Arial" w:cs="Arial"/>
      <w:color w:val="000000"/>
      <w:sz w:val="20"/>
      <w:szCs w:val="20"/>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P"/>
    <w:basedOn w:val="Normal"/>
    <w:rsid w:val="00D720C1"/>
    <w:pPr>
      <w:spacing w:before="240"/>
    </w:pPr>
    <w:rPr>
      <w:rFonts w:ascii="Arial" w:hAnsi="Arial"/>
      <w:szCs w:val="20"/>
    </w:rPr>
  </w:style>
  <w:style w:type="table" w:styleId="TableClassic3">
    <w:name w:val="Table Classic 3"/>
    <w:basedOn w:val="TableNormal"/>
    <w:rsid w:val="00537E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3">
    <w:name w:val="toc 3"/>
    <w:basedOn w:val="Normal"/>
    <w:next w:val="Normal"/>
    <w:autoRedefine/>
    <w:rsid w:val="005E7DAA"/>
    <w:pPr>
      <w:ind w:left="480"/>
    </w:pPr>
    <w:rPr>
      <w:lang w:eastAsia="en-GB"/>
    </w:rPr>
  </w:style>
  <w:style w:type="paragraph" w:customStyle="1" w:styleId="normal1">
    <w:name w:val="normal1"/>
    <w:basedOn w:val="Normal"/>
    <w:link w:val="normal1Char"/>
    <w:uiPriority w:val="99"/>
    <w:rsid w:val="00275AD4"/>
    <w:rPr>
      <w:rFonts w:ascii="Times New Roman" w:hAnsi="Times New Roman"/>
      <w:sz w:val="24"/>
    </w:rPr>
  </w:style>
  <w:style w:type="character" w:customStyle="1" w:styleId="normal1Char">
    <w:name w:val="normal1 Char"/>
    <w:link w:val="normal1"/>
    <w:uiPriority w:val="99"/>
    <w:locked/>
    <w:rsid w:val="00275AD4"/>
    <w:rPr>
      <w:sz w:val="24"/>
      <w:szCs w:val="24"/>
    </w:rPr>
  </w:style>
  <w:style w:type="character" w:customStyle="1" w:styleId="body0020text0020indentchar1">
    <w:name w:val="body0020text0020indentchar1"/>
    <w:uiPriority w:val="99"/>
    <w:rsid w:val="00C31287"/>
    <w:rPr>
      <w:rFonts w:cs="Times New Roman"/>
    </w:rPr>
  </w:style>
  <w:style w:type="paragraph" w:styleId="DocumentMap">
    <w:name w:val="Document Map"/>
    <w:basedOn w:val="Normal"/>
    <w:semiHidden/>
    <w:rsid w:val="006A45CC"/>
    <w:pPr>
      <w:shd w:val="clear" w:color="auto" w:fill="000080"/>
    </w:pPr>
    <w:rPr>
      <w:rFonts w:ascii="Tahoma" w:hAnsi="Tahoma" w:cs="Tahoma"/>
      <w:sz w:val="20"/>
      <w:szCs w:val="20"/>
    </w:rPr>
  </w:style>
  <w:style w:type="paragraph" w:styleId="FootnoteText">
    <w:name w:val="footnote text"/>
    <w:basedOn w:val="Normal"/>
    <w:link w:val="FootnoteTextChar"/>
    <w:uiPriority w:val="99"/>
    <w:rsid w:val="00E9089D"/>
    <w:rPr>
      <w:rFonts w:ascii="Times New Roman" w:hAnsi="Times New Roman"/>
      <w:sz w:val="20"/>
    </w:rPr>
  </w:style>
  <w:style w:type="character" w:customStyle="1" w:styleId="FootnoteTextChar">
    <w:name w:val="Footnote Text Char"/>
    <w:link w:val="FootnoteText"/>
    <w:uiPriority w:val="99"/>
    <w:rsid w:val="00E9089D"/>
    <w:rPr>
      <w:szCs w:val="24"/>
      <w:lang w:eastAsia="en-US"/>
    </w:rPr>
  </w:style>
  <w:style w:type="paragraph" w:styleId="EndnoteText">
    <w:name w:val="endnote text"/>
    <w:basedOn w:val="Normal"/>
    <w:link w:val="EndnoteTextChar"/>
    <w:uiPriority w:val="99"/>
    <w:rsid w:val="00E9089D"/>
    <w:rPr>
      <w:sz w:val="20"/>
      <w:szCs w:val="20"/>
      <w:lang w:eastAsia="en-GB"/>
    </w:rPr>
  </w:style>
  <w:style w:type="character" w:customStyle="1" w:styleId="EndnoteTextChar">
    <w:name w:val="Endnote Text Char"/>
    <w:basedOn w:val="DefaultParagraphFont"/>
    <w:link w:val="EndnoteText"/>
    <w:uiPriority w:val="99"/>
    <w:rsid w:val="00E9089D"/>
  </w:style>
  <w:style w:type="character" w:styleId="EndnoteReference">
    <w:name w:val="endnote reference"/>
    <w:uiPriority w:val="99"/>
    <w:rsid w:val="00E9089D"/>
    <w:rPr>
      <w:vertAlign w:val="superscript"/>
    </w:rPr>
  </w:style>
  <w:style w:type="paragraph" w:styleId="ListParagraph">
    <w:name w:val="List Paragraph"/>
    <w:basedOn w:val="Normal"/>
    <w:uiPriority w:val="34"/>
    <w:qFormat/>
    <w:rsid w:val="00595F8E"/>
    <w:pPr>
      <w:ind w:left="720"/>
    </w:pPr>
    <w:rPr>
      <w:rFonts w:ascii="Arial" w:hAnsi="Arial" w:cs="Arial"/>
      <w:szCs w:val="22"/>
    </w:rPr>
  </w:style>
  <w:style w:type="paragraph" w:customStyle="1" w:styleId="CM50">
    <w:name w:val="CM50"/>
    <w:basedOn w:val="Default"/>
    <w:next w:val="Default"/>
    <w:uiPriority w:val="99"/>
    <w:rsid w:val="00841EE7"/>
    <w:rPr>
      <w:rFonts w:ascii="EKHEI K+ Frutiger" w:hAnsi="EKHEI K+ Frutiger" w:cs="Times New Roman"/>
      <w:color w:val="auto"/>
    </w:rPr>
  </w:style>
  <w:style w:type="paragraph" w:customStyle="1" w:styleId="CM18">
    <w:name w:val="CM18"/>
    <w:basedOn w:val="Default"/>
    <w:next w:val="Default"/>
    <w:uiPriority w:val="99"/>
    <w:rsid w:val="00841EE7"/>
    <w:pPr>
      <w:spacing w:line="318" w:lineRule="atLeast"/>
    </w:pPr>
    <w:rPr>
      <w:rFonts w:ascii="EKHEI K+ Frutiger" w:hAnsi="EKHEI K+ Frutiger" w:cs="Times New Roman"/>
      <w:color w:val="auto"/>
    </w:rPr>
  </w:style>
  <w:style w:type="character" w:customStyle="1" w:styleId="FooterChar">
    <w:name w:val="Footer Char"/>
    <w:link w:val="Footer"/>
    <w:uiPriority w:val="99"/>
    <w:rsid w:val="00925868"/>
    <w:rPr>
      <w:sz w:val="24"/>
      <w:szCs w:val="24"/>
      <w:lang w:eastAsia="en-US"/>
    </w:rPr>
  </w:style>
  <w:style w:type="character" w:customStyle="1" w:styleId="A13">
    <w:name w:val="A13"/>
    <w:uiPriority w:val="99"/>
    <w:rsid w:val="00D34E16"/>
    <w:rPr>
      <w:rFonts w:cs="HelveticaNeueLT Std Lt"/>
      <w:color w:val="000000"/>
      <w:u w:val="single"/>
    </w:rPr>
  </w:style>
  <w:style w:type="character" w:customStyle="1" w:styleId="A8">
    <w:name w:val="A8"/>
    <w:uiPriority w:val="99"/>
    <w:rsid w:val="001C3CFC"/>
    <w:rPr>
      <w:rFonts w:cs="HelveticaNeueLT Std Lt"/>
      <w:color w:val="000000"/>
      <w:sz w:val="22"/>
      <w:szCs w:val="22"/>
    </w:rPr>
  </w:style>
  <w:style w:type="character" w:customStyle="1" w:styleId="A9">
    <w:name w:val="A9"/>
    <w:uiPriority w:val="99"/>
    <w:rsid w:val="001C3CFC"/>
    <w:rPr>
      <w:rFonts w:cs="HelveticaNeueLT Std Lt"/>
      <w:color w:val="000000"/>
      <w:sz w:val="12"/>
      <w:szCs w:val="12"/>
    </w:rPr>
  </w:style>
  <w:style w:type="character" w:styleId="FollowedHyperlink">
    <w:name w:val="FollowedHyperlink"/>
    <w:rsid w:val="00AC7537"/>
    <w:rPr>
      <w:color w:val="800080"/>
      <w:u w:val="single"/>
    </w:rPr>
  </w:style>
  <w:style w:type="paragraph" w:styleId="PlainText">
    <w:name w:val="Plain Text"/>
    <w:basedOn w:val="Normal"/>
    <w:link w:val="PlainTextChar"/>
    <w:uiPriority w:val="99"/>
    <w:unhideWhenUsed/>
    <w:rsid w:val="00182C0D"/>
    <w:rPr>
      <w:rFonts w:ascii="Arial" w:eastAsia="Calibri" w:hAnsi="Arial"/>
      <w:sz w:val="20"/>
      <w:szCs w:val="21"/>
    </w:rPr>
  </w:style>
  <w:style w:type="character" w:customStyle="1" w:styleId="PlainTextChar">
    <w:name w:val="Plain Text Char"/>
    <w:link w:val="PlainText"/>
    <w:uiPriority w:val="99"/>
    <w:rsid w:val="00182C0D"/>
    <w:rPr>
      <w:rFonts w:ascii="Arial" w:eastAsia="Calibri" w:hAnsi="Arial"/>
      <w:szCs w:val="21"/>
    </w:rPr>
  </w:style>
  <w:style w:type="character" w:customStyle="1" w:styleId="element-citation">
    <w:name w:val="element-citation"/>
    <w:rsid w:val="00EC1334"/>
  </w:style>
  <w:style w:type="character" w:customStyle="1" w:styleId="ref-journal">
    <w:name w:val="ref-journal"/>
    <w:rsid w:val="00EC1334"/>
  </w:style>
  <w:style w:type="character" w:customStyle="1" w:styleId="ref-vol">
    <w:name w:val="ref-vol"/>
    <w:rsid w:val="00EC1334"/>
  </w:style>
  <w:style w:type="paragraph" w:styleId="NoSpacing">
    <w:name w:val="No Spacing"/>
    <w:link w:val="NoSpacingChar"/>
    <w:uiPriority w:val="1"/>
    <w:qFormat/>
    <w:rsid w:val="002E39F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E39FD"/>
    <w:rPr>
      <w:rFonts w:asciiTheme="minorHAnsi" w:eastAsiaTheme="minorEastAsia" w:hAnsiTheme="minorHAnsi" w:cstheme="minorBidi"/>
      <w:sz w:val="22"/>
      <w:szCs w:val="22"/>
      <w:lang w:val="en-US" w:eastAsia="ja-JP"/>
    </w:rPr>
  </w:style>
  <w:style w:type="character" w:customStyle="1" w:styleId="apple-converted-space">
    <w:name w:val="apple-converted-space"/>
    <w:rsid w:val="00753A9B"/>
  </w:style>
  <w:style w:type="character" w:styleId="Emphasis">
    <w:name w:val="Emphasis"/>
    <w:basedOn w:val="DefaultParagraphFont"/>
    <w:uiPriority w:val="20"/>
    <w:qFormat/>
    <w:rsid w:val="00753A9B"/>
    <w:rPr>
      <w:i/>
      <w:iCs/>
    </w:rPr>
  </w:style>
  <w:style w:type="character" w:customStyle="1" w:styleId="CommentTextChar">
    <w:name w:val="Comment Text Char"/>
    <w:link w:val="CommentText"/>
    <w:uiPriority w:val="99"/>
    <w:rsid w:val="00386454"/>
    <w:rPr>
      <w:rFonts w:ascii="Calibri" w:hAnsi="Calibri"/>
      <w:lang w:eastAsia="en-US"/>
    </w:rPr>
  </w:style>
  <w:style w:type="paragraph" w:customStyle="1" w:styleId="MMTopic1">
    <w:name w:val="MM Topic 1"/>
    <w:basedOn w:val="Heading1"/>
    <w:link w:val="MMTopic1Char"/>
    <w:rsid w:val="00573E77"/>
    <w:pPr>
      <w:keepLines/>
      <w:numPr>
        <w:numId w:val="5"/>
      </w:numPr>
      <w:spacing w:before="480" w:line="276" w:lineRule="auto"/>
      <w:jc w:val="both"/>
    </w:pPr>
    <w:rPr>
      <w:rFonts w:ascii="Cambria" w:hAnsi="Cambria"/>
      <w:color w:val="365F91"/>
      <w:sz w:val="28"/>
      <w:szCs w:val="28"/>
    </w:rPr>
  </w:style>
  <w:style w:type="character" w:customStyle="1" w:styleId="MMTopic1Char">
    <w:name w:val="MM Topic 1 Char"/>
    <w:link w:val="MMTopic1"/>
    <w:rsid w:val="00573E77"/>
    <w:rPr>
      <w:rFonts w:ascii="Cambria" w:hAnsi="Cambria"/>
      <w:b/>
      <w:bCs/>
      <w:color w:val="365F91"/>
      <w:sz w:val="28"/>
      <w:szCs w:val="28"/>
      <w:lang w:eastAsia="en-US"/>
    </w:rPr>
  </w:style>
  <w:style w:type="paragraph" w:customStyle="1" w:styleId="MMTopic2">
    <w:name w:val="MM Topic 2"/>
    <w:basedOn w:val="Heading2"/>
    <w:rsid w:val="00573E77"/>
    <w:pPr>
      <w:keepLines/>
      <w:numPr>
        <w:ilvl w:val="1"/>
        <w:numId w:val="5"/>
      </w:numPr>
      <w:spacing w:before="600" w:after="360" w:line="276" w:lineRule="auto"/>
      <w:jc w:val="both"/>
    </w:pPr>
    <w:rPr>
      <w:rFonts w:ascii="Cambria" w:hAnsi="Cambria" w:cs="Times New Roman"/>
      <w:iCs w:val="0"/>
      <w:color w:val="4F81BD"/>
      <w:sz w:val="26"/>
      <w:szCs w:val="26"/>
    </w:rPr>
  </w:style>
  <w:style w:type="paragraph" w:customStyle="1" w:styleId="MMTopic3">
    <w:name w:val="MM Topic 3"/>
    <w:basedOn w:val="Heading3"/>
    <w:rsid w:val="00573E77"/>
    <w:pPr>
      <w:keepLines/>
      <w:numPr>
        <w:ilvl w:val="2"/>
        <w:numId w:val="5"/>
      </w:numPr>
      <w:spacing w:before="480" w:after="200" w:line="276" w:lineRule="auto"/>
      <w:jc w:val="both"/>
    </w:pPr>
    <w:rPr>
      <w:rFonts w:ascii="Cambria" w:hAnsi="Cambria" w:cs="Times New Roman"/>
      <w:color w:val="4F81BD"/>
      <w:sz w:val="22"/>
      <w:szCs w:val="22"/>
    </w:rPr>
  </w:style>
  <w:style w:type="paragraph" w:customStyle="1" w:styleId="MMTopic4">
    <w:name w:val="MM Topic 4"/>
    <w:basedOn w:val="Heading4"/>
    <w:rsid w:val="00573E77"/>
    <w:pPr>
      <w:numPr>
        <w:ilvl w:val="3"/>
        <w:numId w:val="5"/>
      </w:numPr>
      <w:tabs>
        <w:tab w:val="num" w:pos="2880"/>
      </w:tabs>
      <w:spacing w:before="200" w:after="120" w:line="276" w:lineRule="auto"/>
      <w:ind w:left="2880" w:hanging="360"/>
      <w:jc w:val="both"/>
    </w:pPr>
    <w:rPr>
      <w:rFonts w:ascii="Cambria" w:eastAsia="Times New Roman" w:hAnsi="Cambria" w:cs="Times New Roman"/>
      <w:b/>
      <w:bCs/>
      <w:color w:val="4F81BD"/>
      <w:szCs w:val="22"/>
    </w:rPr>
  </w:style>
  <w:style w:type="paragraph" w:customStyle="1" w:styleId="MMTopic5">
    <w:name w:val="MM Topic 5"/>
    <w:basedOn w:val="Heading5"/>
    <w:rsid w:val="00573E77"/>
    <w:pPr>
      <w:numPr>
        <w:ilvl w:val="4"/>
        <w:numId w:val="5"/>
      </w:numPr>
      <w:tabs>
        <w:tab w:val="num" w:pos="3600"/>
      </w:tabs>
      <w:spacing w:before="200" w:line="276" w:lineRule="auto"/>
      <w:ind w:left="3600" w:hanging="360"/>
      <w:jc w:val="both"/>
    </w:pPr>
    <w:rPr>
      <w:rFonts w:ascii="Cambria" w:eastAsia="Times New Roman" w:hAnsi="Cambria" w:cs="Times New Roman"/>
      <w:color w:val="243F60"/>
      <w:sz w:val="20"/>
      <w:szCs w:val="20"/>
    </w:rPr>
  </w:style>
  <w:style w:type="paragraph" w:customStyle="1" w:styleId="MediumGrid21">
    <w:name w:val="Medium Grid 21"/>
    <w:link w:val="MediumGrid2Char"/>
    <w:uiPriority w:val="1"/>
    <w:qFormat/>
    <w:rsid w:val="00573E77"/>
    <w:rPr>
      <w:rFonts w:ascii="Arial" w:eastAsia="Calibri" w:hAnsi="Arial"/>
      <w:sz w:val="22"/>
      <w:szCs w:val="22"/>
      <w:lang w:eastAsia="en-US"/>
    </w:rPr>
  </w:style>
  <w:style w:type="character" w:customStyle="1" w:styleId="MediumGrid2Char">
    <w:name w:val="Medium Grid 2 Char"/>
    <w:link w:val="MediumGrid21"/>
    <w:uiPriority w:val="1"/>
    <w:rsid w:val="00573E77"/>
    <w:rPr>
      <w:rFonts w:ascii="Arial" w:eastAsia="Calibri" w:hAnsi="Arial"/>
      <w:sz w:val="22"/>
      <w:szCs w:val="22"/>
      <w:lang w:eastAsia="en-US"/>
    </w:rPr>
  </w:style>
  <w:style w:type="character" w:customStyle="1" w:styleId="Heading4Char">
    <w:name w:val="Heading 4 Char"/>
    <w:basedOn w:val="DefaultParagraphFont"/>
    <w:link w:val="Heading4"/>
    <w:semiHidden/>
    <w:rsid w:val="00573E7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semiHidden/>
    <w:rsid w:val="00573E77"/>
    <w:rPr>
      <w:rFonts w:asciiTheme="majorHAnsi" w:eastAsiaTheme="majorEastAsia" w:hAnsiTheme="majorHAnsi" w:cstheme="majorBidi"/>
      <w:color w:val="2E74B5" w:themeColor="accent1" w:themeShade="BF"/>
      <w:sz w:val="22"/>
      <w:szCs w:val="24"/>
      <w:lang w:eastAsia="en-US"/>
    </w:rPr>
  </w:style>
  <w:style w:type="character" w:styleId="FootnoteReference">
    <w:name w:val="footnote reference"/>
    <w:basedOn w:val="DefaultParagraphFont"/>
    <w:uiPriority w:val="99"/>
    <w:semiHidden/>
    <w:unhideWhenUsed/>
    <w:rsid w:val="00053060"/>
    <w:rPr>
      <w:vertAlign w:val="superscript"/>
    </w:rPr>
  </w:style>
  <w:style w:type="character" w:customStyle="1" w:styleId="A4">
    <w:name w:val="A4"/>
    <w:uiPriority w:val="99"/>
    <w:rsid w:val="003F7503"/>
    <w:rPr>
      <w:rFonts w:cs="Syntax"/>
      <w:color w:val="000000"/>
      <w:sz w:val="14"/>
      <w:szCs w:val="14"/>
    </w:rPr>
  </w:style>
  <w:style w:type="character" w:customStyle="1" w:styleId="Heading1Char">
    <w:name w:val="Heading 1 Char"/>
    <w:basedOn w:val="DefaultParagraphFont"/>
    <w:link w:val="Heading1"/>
    <w:rsid w:val="00A33301"/>
    <w:rPr>
      <w:rFonts w:ascii="Calibri" w:hAnsi="Calibri"/>
      <w:b/>
      <w:bCs/>
      <w:sz w:val="48"/>
      <w:szCs w:val="24"/>
      <w:lang w:eastAsia="en-US"/>
    </w:rPr>
  </w:style>
  <w:style w:type="paragraph" w:styleId="TOCHeading">
    <w:name w:val="TOC Heading"/>
    <w:basedOn w:val="Heading1"/>
    <w:next w:val="Normal"/>
    <w:uiPriority w:val="39"/>
    <w:unhideWhenUsed/>
    <w:qFormat/>
    <w:rsid w:val="006163E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6163E1"/>
    <w:pPr>
      <w:spacing w:after="100"/>
    </w:pPr>
  </w:style>
  <w:style w:type="paragraph" w:styleId="TOC2">
    <w:name w:val="toc 2"/>
    <w:basedOn w:val="Normal"/>
    <w:next w:val="Normal"/>
    <w:autoRedefine/>
    <w:uiPriority w:val="39"/>
    <w:unhideWhenUsed/>
    <w:rsid w:val="006163E1"/>
    <w:pPr>
      <w:spacing w:after="100"/>
      <w:ind w:left="220"/>
    </w:pPr>
  </w:style>
  <w:style w:type="paragraph" w:customStyle="1" w:styleId="1">
    <w:name w:val="1"/>
    <w:basedOn w:val="Normal"/>
    <w:rsid w:val="00E33EF1"/>
    <w:pPr>
      <w:spacing w:after="160" w:line="240" w:lineRule="exact"/>
    </w:pPr>
    <w:rPr>
      <w:rFonts w:ascii="Tahoma" w:hAnsi="Tahoma"/>
      <w:sz w:val="20"/>
      <w:szCs w:val="20"/>
      <w:lang w:eastAsia="en-GB"/>
    </w:rPr>
  </w:style>
  <w:style w:type="character" w:styleId="Mention">
    <w:name w:val="Mention"/>
    <w:basedOn w:val="DefaultParagraphFont"/>
    <w:uiPriority w:val="99"/>
    <w:semiHidden/>
    <w:unhideWhenUsed/>
    <w:rsid w:val="005A6524"/>
    <w:rPr>
      <w:color w:val="2B579A"/>
      <w:shd w:val="clear" w:color="auto" w:fill="E6E6E6"/>
    </w:rPr>
  </w:style>
  <w:style w:type="character" w:styleId="UnresolvedMention">
    <w:name w:val="Unresolved Mention"/>
    <w:basedOn w:val="DefaultParagraphFont"/>
    <w:uiPriority w:val="99"/>
    <w:semiHidden/>
    <w:unhideWhenUsed/>
    <w:rsid w:val="00C807CC"/>
    <w:rPr>
      <w:color w:val="808080"/>
      <w:shd w:val="clear" w:color="auto" w:fill="E6E6E6"/>
    </w:rPr>
  </w:style>
  <w:style w:type="paragraph" w:styleId="NormalWeb">
    <w:name w:val="Normal (Web)"/>
    <w:basedOn w:val="Normal"/>
    <w:uiPriority w:val="99"/>
    <w:semiHidden/>
    <w:unhideWhenUsed/>
    <w:rsid w:val="00301F5D"/>
    <w:pPr>
      <w:spacing w:before="100" w:beforeAutospacing="1" w:after="100" w:afterAutospacing="1"/>
    </w:pPr>
    <w:rPr>
      <w:rFonts w:ascii="Times New Roman" w:hAnsi="Times New Roman"/>
      <w:sz w:val="24"/>
      <w:lang w:eastAsia="en-GB"/>
    </w:rPr>
  </w:style>
  <w:style w:type="paragraph" w:customStyle="1" w:styleId="MMCallout1">
    <w:name w:val="MM Callout 1"/>
    <w:basedOn w:val="Normal"/>
    <w:link w:val="MMCallout1Char"/>
    <w:rsid w:val="008B66A8"/>
    <w:pPr>
      <w:numPr>
        <w:numId w:val="9"/>
      </w:numPr>
      <w:spacing w:after="200" w:line="276" w:lineRule="auto"/>
      <w:jc w:val="both"/>
    </w:pPr>
    <w:rPr>
      <w:rFonts w:ascii="Arial" w:eastAsia="Calibri" w:hAnsi="Arial"/>
      <w:szCs w:val="22"/>
    </w:rPr>
  </w:style>
  <w:style w:type="character" w:customStyle="1" w:styleId="MMCallout1Char">
    <w:name w:val="MM Callout 1 Char"/>
    <w:link w:val="MMCallout1"/>
    <w:rsid w:val="008B66A8"/>
    <w:rPr>
      <w:rFonts w:ascii="Arial" w:eastAsia="Calibri" w:hAnsi="Arial"/>
      <w:sz w:val="22"/>
      <w:szCs w:val="22"/>
      <w:lang w:eastAsia="en-US"/>
    </w:rPr>
  </w:style>
  <w:style w:type="character" w:customStyle="1" w:styleId="GridTable1Light1">
    <w:name w:val="Grid Table 1 Light1"/>
    <w:aliases w:val="numbered list"/>
    <w:uiPriority w:val="33"/>
    <w:qFormat/>
    <w:rsid w:val="008B66A8"/>
  </w:style>
  <w:style w:type="paragraph" w:customStyle="1" w:styleId="Mainheading">
    <w:name w:val="Main heading"/>
    <w:basedOn w:val="Normal"/>
    <w:qFormat/>
    <w:rsid w:val="00C42F0E"/>
    <w:pPr>
      <w:spacing w:before="120" w:after="120"/>
    </w:pPr>
    <w:rPr>
      <w:rFonts w:eastAsiaTheme="minorEastAsia" w:cs="Arial"/>
      <w:color w:val="F79646"/>
      <w:sz w:val="36"/>
      <w:szCs w:val="36"/>
      <w:lang w:eastAsia="ja-JP"/>
    </w:rPr>
  </w:style>
  <w:style w:type="paragraph" w:customStyle="1" w:styleId="Sub-heading">
    <w:name w:val="Sub-heading"/>
    <w:basedOn w:val="Normal"/>
    <w:qFormat/>
    <w:rsid w:val="00704E7B"/>
    <w:pPr>
      <w:numPr>
        <w:ilvl w:val="1"/>
        <w:numId w:val="10"/>
      </w:numPr>
      <w:spacing w:before="120" w:after="120"/>
      <w:ind w:left="357" w:hanging="357"/>
    </w:pPr>
    <w:rPr>
      <w:rFonts w:asciiTheme="minorHAnsi" w:eastAsiaTheme="minorEastAsia" w:hAnsiTheme="minorHAnsi" w:cs="Arial"/>
      <w:b/>
      <w:color w:val="009966"/>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271">
      <w:bodyDiv w:val="1"/>
      <w:marLeft w:val="0"/>
      <w:marRight w:val="0"/>
      <w:marTop w:val="0"/>
      <w:marBottom w:val="0"/>
      <w:divBdr>
        <w:top w:val="none" w:sz="0" w:space="0" w:color="auto"/>
        <w:left w:val="none" w:sz="0" w:space="0" w:color="auto"/>
        <w:bottom w:val="none" w:sz="0" w:space="0" w:color="auto"/>
        <w:right w:val="none" w:sz="0" w:space="0" w:color="auto"/>
      </w:divBdr>
    </w:div>
    <w:div w:id="76945163">
      <w:bodyDiv w:val="1"/>
      <w:marLeft w:val="0"/>
      <w:marRight w:val="0"/>
      <w:marTop w:val="0"/>
      <w:marBottom w:val="0"/>
      <w:divBdr>
        <w:top w:val="none" w:sz="0" w:space="0" w:color="auto"/>
        <w:left w:val="none" w:sz="0" w:space="0" w:color="auto"/>
        <w:bottom w:val="none" w:sz="0" w:space="0" w:color="auto"/>
        <w:right w:val="none" w:sz="0" w:space="0" w:color="auto"/>
      </w:divBdr>
    </w:div>
    <w:div w:id="142236348">
      <w:bodyDiv w:val="1"/>
      <w:marLeft w:val="0"/>
      <w:marRight w:val="0"/>
      <w:marTop w:val="0"/>
      <w:marBottom w:val="0"/>
      <w:divBdr>
        <w:top w:val="none" w:sz="0" w:space="0" w:color="auto"/>
        <w:left w:val="none" w:sz="0" w:space="0" w:color="auto"/>
        <w:bottom w:val="none" w:sz="0" w:space="0" w:color="auto"/>
        <w:right w:val="none" w:sz="0" w:space="0" w:color="auto"/>
      </w:divBdr>
    </w:div>
    <w:div w:id="158543271">
      <w:bodyDiv w:val="1"/>
      <w:marLeft w:val="0"/>
      <w:marRight w:val="0"/>
      <w:marTop w:val="0"/>
      <w:marBottom w:val="0"/>
      <w:divBdr>
        <w:top w:val="none" w:sz="0" w:space="0" w:color="auto"/>
        <w:left w:val="none" w:sz="0" w:space="0" w:color="auto"/>
        <w:bottom w:val="none" w:sz="0" w:space="0" w:color="auto"/>
        <w:right w:val="none" w:sz="0" w:space="0" w:color="auto"/>
      </w:divBdr>
    </w:div>
    <w:div w:id="161900747">
      <w:bodyDiv w:val="1"/>
      <w:marLeft w:val="0"/>
      <w:marRight w:val="0"/>
      <w:marTop w:val="0"/>
      <w:marBottom w:val="0"/>
      <w:divBdr>
        <w:top w:val="none" w:sz="0" w:space="0" w:color="auto"/>
        <w:left w:val="none" w:sz="0" w:space="0" w:color="auto"/>
        <w:bottom w:val="none" w:sz="0" w:space="0" w:color="auto"/>
        <w:right w:val="none" w:sz="0" w:space="0" w:color="auto"/>
      </w:divBdr>
    </w:div>
    <w:div w:id="336420765">
      <w:bodyDiv w:val="1"/>
      <w:marLeft w:val="0"/>
      <w:marRight w:val="0"/>
      <w:marTop w:val="0"/>
      <w:marBottom w:val="0"/>
      <w:divBdr>
        <w:top w:val="none" w:sz="0" w:space="0" w:color="auto"/>
        <w:left w:val="none" w:sz="0" w:space="0" w:color="auto"/>
        <w:bottom w:val="none" w:sz="0" w:space="0" w:color="auto"/>
        <w:right w:val="none" w:sz="0" w:space="0" w:color="auto"/>
      </w:divBdr>
    </w:div>
    <w:div w:id="337539711">
      <w:bodyDiv w:val="1"/>
      <w:marLeft w:val="0"/>
      <w:marRight w:val="0"/>
      <w:marTop w:val="0"/>
      <w:marBottom w:val="0"/>
      <w:divBdr>
        <w:top w:val="none" w:sz="0" w:space="0" w:color="auto"/>
        <w:left w:val="none" w:sz="0" w:space="0" w:color="auto"/>
        <w:bottom w:val="none" w:sz="0" w:space="0" w:color="auto"/>
        <w:right w:val="none" w:sz="0" w:space="0" w:color="auto"/>
      </w:divBdr>
    </w:div>
    <w:div w:id="367032250">
      <w:bodyDiv w:val="1"/>
      <w:marLeft w:val="0"/>
      <w:marRight w:val="0"/>
      <w:marTop w:val="0"/>
      <w:marBottom w:val="0"/>
      <w:divBdr>
        <w:top w:val="none" w:sz="0" w:space="0" w:color="auto"/>
        <w:left w:val="none" w:sz="0" w:space="0" w:color="auto"/>
        <w:bottom w:val="none" w:sz="0" w:space="0" w:color="auto"/>
        <w:right w:val="none" w:sz="0" w:space="0" w:color="auto"/>
      </w:divBdr>
    </w:div>
    <w:div w:id="444008992">
      <w:bodyDiv w:val="1"/>
      <w:marLeft w:val="0"/>
      <w:marRight w:val="0"/>
      <w:marTop w:val="0"/>
      <w:marBottom w:val="0"/>
      <w:divBdr>
        <w:top w:val="none" w:sz="0" w:space="0" w:color="auto"/>
        <w:left w:val="none" w:sz="0" w:space="0" w:color="auto"/>
        <w:bottom w:val="none" w:sz="0" w:space="0" w:color="auto"/>
        <w:right w:val="none" w:sz="0" w:space="0" w:color="auto"/>
      </w:divBdr>
    </w:div>
    <w:div w:id="530456672">
      <w:bodyDiv w:val="1"/>
      <w:marLeft w:val="0"/>
      <w:marRight w:val="0"/>
      <w:marTop w:val="0"/>
      <w:marBottom w:val="0"/>
      <w:divBdr>
        <w:top w:val="none" w:sz="0" w:space="0" w:color="auto"/>
        <w:left w:val="none" w:sz="0" w:space="0" w:color="auto"/>
        <w:bottom w:val="none" w:sz="0" w:space="0" w:color="auto"/>
        <w:right w:val="none" w:sz="0" w:space="0" w:color="auto"/>
      </w:divBdr>
    </w:div>
    <w:div w:id="706755190">
      <w:bodyDiv w:val="1"/>
      <w:marLeft w:val="0"/>
      <w:marRight w:val="0"/>
      <w:marTop w:val="0"/>
      <w:marBottom w:val="0"/>
      <w:divBdr>
        <w:top w:val="none" w:sz="0" w:space="0" w:color="auto"/>
        <w:left w:val="none" w:sz="0" w:space="0" w:color="auto"/>
        <w:bottom w:val="none" w:sz="0" w:space="0" w:color="auto"/>
        <w:right w:val="none" w:sz="0" w:space="0" w:color="auto"/>
      </w:divBdr>
    </w:div>
    <w:div w:id="729040403">
      <w:bodyDiv w:val="1"/>
      <w:marLeft w:val="0"/>
      <w:marRight w:val="0"/>
      <w:marTop w:val="0"/>
      <w:marBottom w:val="0"/>
      <w:divBdr>
        <w:top w:val="none" w:sz="0" w:space="0" w:color="auto"/>
        <w:left w:val="none" w:sz="0" w:space="0" w:color="auto"/>
        <w:bottom w:val="none" w:sz="0" w:space="0" w:color="auto"/>
        <w:right w:val="none" w:sz="0" w:space="0" w:color="auto"/>
      </w:divBdr>
    </w:div>
    <w:div w:id="746419208">
      <w:bodyDiv w:val="1"/>
      <w:marLeft w:val="0"/>
      <w:marRight w:val="0"/>
      <w:marTop w:val="0"/>
      <w:marBottom w:val="0"/>
      <w:divBdr>
        <w:top w:val="none" w:sz="0" w:space="0" w:color="auto"/>
        <w:left w:val="none" w:sz="0" w:space="0" w:color="auto"/>
        <w:bottom w:val="none" w:sz="0" w:space="0" w:color="auto"/>
        <w:right w:val="none" w:sz="0" w:space="0" w:color="auto"/>
      </w:divBdr>
    </w:div>
    <w:div w:id="914243461">
      <w:bodyDiv w:val="1"/>
      <w:marLeft w:val="0"/>
      <w:marRight w:val="0"/>
      <w:marTop w:val="0"/>
      <w:marBottom w:val="0"/>
      <w:divBdr>
        <w:top w:val="none" w:sz="0" w:space="0" w:color="auto"/>
        <w:left w:val="none" w:sz="0" w:space="0" w:color="auto"/>
        <w:bottom w:val="none" w:sz="0" w:space="0" w:color="auto"/>
        <w:right w:val="none" w:sz="0" w:space="0" w:color="auto"/>
      </w:divBdr>
    </w:div>
    <w:div w:id="954212019">
      <w:bodyDiv w:val="1"/>
      <w:marLeft w:val="0"/>
      <w:marRight w:val="0"/>
      <w:marTop w:val="0"/>
      <w:marBottom w:val="0"/>
      <w:divBdr>
        <w:top w:val="none" w:sz="0" w:space="0" w:color="auto"/>
        <w:left w:val="none" w:sz="0" w:space="0" w:color="auto"/>
        <w:bottom w:val="none" w:sz="0" w:space="0" w:color="auto"/>
        <w:right w:val="none" w:sz="0" w:space="0" w:color="auto"/>
      </w:divBdr>
    </w:div>
    <w:div w:id="1012683831">
      <w:bodyDiv w:val="1"/>
      <w:marLeft w:val="0"/>
      <w:marRight w:val="0"/>
      <w:marTop w:val="0"/>
      <w:marBottom w:val="0"/>
      <w:divBdr>
        <w:top w:val="none" w:sz="0" w:space="0" w:color="auto"/>
        <w:left w:val="none" w:sz="0" w:space="0" w:color="auto"/>
        <w:bottom w:val="none" w:sz="0" w:space="0" w:color="auto"/>
        <w:right w:val="none" w:sz="0" w:space="0" w:color="auto"/>
      </w:divBdr>
    </w:div>
    <w:div w:id="1021399541">
      <w:bodyDiv w:val="1"/>
      <w:marLeft w:val="0"/>
      <w:marRight w:val="0"/>
      <w:marTop w:val="0"/>
      <w:marBottom w:val="0"/>
      <w:divBdr>
        <w:top w:val="none" w:sz="0" w:space="0" w:color="auto"/>
        <w:left w:val="none" w:sz="0" w:space="0" w:color="auto"/>
        <w:bottom w:val="none" w:sz="0" w:space="0" w:color="auto"/>
        <w:right w:val="none" w:sz="0" w:space="0" w:color="auto"/>
      </w:divBdr>
    </w:div>
    <w:div w:id="1183933301">
      <w:bodyDiv w:val="1"/>
      <w:marLeft w:val="0"/>
      <w:marRight w:val="0"/>
      <w:marTop w:val="0"/>
      <w:marBottom w:val="0"/>
      <w:divBdr>
        <w:top w:val="none" w:sz="0" w:space="0" w:color="auto"/>
        <w:left w:val="none" w:sz="0" w:space="0" w:color="auto"/>
        <w:bottom w:val="none" w:sz="0" w:space="0" w:color="auto"/>
        <w:right w:val="none" w:sz="0" w:space="0" w:color="auto"/>
      </w:divBdr>
    </w:div>
    <w:div w:id="1328288715">
      <w:bodyDiv w:val="1"/>
      <w:marLeft w:val="0"/>
      <w:marRight w:val="0"/>
      <w:marTop w:val="0"/>
      <w:marBottom w:val="0"/>
      <w:divBdr>
        <w:top w:val="none" w:sz="0" w:space="0" w:color="auto"/>
        <w:left w:val="none" w:sz="0" w:space="0" w:color="auto"/>
        <w:bottom w:val="none" w:sz="0" w:space="0" w:color="auto"/>
        <w:right w:val="none" w:sz="0" w:space="0" w:color="auto"/>
      </w:divBdr>
    </w:div>
    <w:div w:id="1375350044">
      <w:bodyDiv w:val="1"/>
      <w:marLeft w:val="0"/>
      <w:marRight w:val="0"/>
      <w:marTop w:val="0"/>
      <w:marBottom w:val="0"/>
      <w:divBdr>
        <w:top w:val="none" w:sz="0" w:space="0" w:color="auto"/>
        <w:left w:val="none" w:sz="0" w:space="0" w:color="auto"/>
        <w:bottom w:val="none" w:sz="0" w:space="0" w:color="auto"/>
        <w:right w:val="none" w:sz="0" w:space="0" w:color="auto"/>
      </w:divBdr>
    </w:div>
    <w:div w:id="1433353809">
      <w:bodyDiv w:val="1"/>
      <w:marLeft w:val="0"/>
      <w:marRight w:val="0"/>
      <w:marTop w:val="0"/>
      <w:marBottom w:val="0"/>
      <w:divBdr>
        <w:top w:val="none" w:sz="0" w:space="0" w:color="auto"/>
        <w:left w:val="none" w:sz="0" w:space="0" w:color="auto"/>
        <w:bottom w:val="none" w:sz="0" w:space="0" w:color="auto"/>
        <w:right w:val="none" w:sz="0" w:space="0" w:color="auto"/>
      </w:divBdr>
    </w:div>
    <w:div w:id="1556042862">
      <w:bodyDiv w:val="1"/>
      <w:marLeft w:val="0"/>
      <w:marRight w:val="0"/>
      <w:marTop w:val="0"/>
      <w:marBottom w:val="0"/>
      <w:divBdr>
        <w:top w:val="none" w:sz="0" w:space="0" w:color="auto"/>
        <w:left w:val="none" w:sz="0" w:space="0" w:color="auto"/>
        <w:bottom w:val="none" w:sz="0" w:space="0" w:color="auto"/>
        <w:right w:val="none" w:sz="0" w:space="0" w:color="auto"/>
      </w:divBdr>
    </w:div>
    <w:div w:id="1567648038">
      <w:bodyDiv w:val="1"/>
      <w:marLeft w:val="0"/>
      <w:marRight w:val="0"/>
      <w:marTop w:val="0"/>
      <w:marBottom w:val="0"/>
      <w:divBdr>
        <w:top w:val="none" w:sz="0" w:space="0" w:color="auto"/>
        <w:left w:val="none" w:sz="0" w:space="0" w:color="auto"/>
        <w:bottom w:val="none" w:sz="0" w:space="0" w:color="auto"/>
        <w:right w:val="none" w:sz="0" w:space="0" w:color="auto"/>
      </w:divBdr>
    </w:div>
    <w:div w:id="1617567685">
      <w:bodyDiv w:val="1"/>
      <w:marLeft w:val="0"/>
      <w:marRight w:val="0"/>
      <w:marTop w:val="0"/>
      <w:marBottom w:val="0"/>
      <w:divBdr>
        <w:top w:val="none" w:sz="0" w:space="0" w:color="auto"/>
        <w:left w:val="none" w:sz="0" w:space="0" w:color="auto"/>
        <w:bottom w:val="none" w:sz="0" w:space="0" w:color="auto"/>
        <w:right w:val="none" w:sz="0" w:space="0" w:color="auto"/>
      </w:divBdr>
      <w:divsChild>
        <w:div w:id="409083642">
          <w:marLeft w:val="0"/>
          <w:marRight w:val="0"/>
          <w:marTop w:val="0"/>
          <w:marBottom w:val="0"/>
          <w:divBdr>
            <w:top w:val="none" w:sz="0" w:space="0" w:color="auto"/>
            <w:left w:val="none" w:sz="0" w:space="0" w:color="auto"/>
            <w:bottom w:val="none" w:sz="0" w:space="0" w:color="auto"/>
            <w:right w:val="none" w:sz="0" w:space="0" w:color="auto"/>
          </w:divBdr>
          <w:divsChild>
            <w:div w:id="1049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9819">
      <w:bodyDiv w:val="1"/>
      <w:marLeft w:val="0"/>
      <w:marRight w:val="0"/>
      <w:marTop w:val="0"/>
      <w:marBottom w:val="0"/>
      <w:divBdr>
        <w:top w:val="none" w:sz="0" w:space="0" w:color="auto"/>
        <w:left w:val="none" w:sz="0" w:space="0" w:color="auto"/>
        <w:bottom w:val="none" w:sz="0" w:space="0" w:color="auto"/>
        <w:right w:val="none" w:sz="0" w:space="0" w:color="auto"/>
      </w:divBdr>
    </w:div>
    <w:div w:id="1728795237">
      <w:bodyDiv w:val="1"/>
      <w:marLeft w:val="0"/>
      <w:marRight w:val="0"/>
      <w:marTop w:val="0"/>
      <w:marBottom w:val="0"/>
      <w:divBdr>
        <w:top w:val="none" w:sz="0" w:space="0" w:color="auto"/>
        <w:left w:val="none" w:sz="0" w:space="0" w:color="auto"/>
        <w:bottom w:val="none" w:sz="0" w:space="0" w:color="auto"/>
        <w:right w:val="none" w:sz="0" w:space="0" w:color="auto"/>
      </w:divBdr>
    </w:div>
    <w:div w:id="1846550215">
      <w:bodyDiv w:val="1"/>
      <w:marLeft w:val="0"/>
      <w:marRight w:val="0"/>
      <w:marTop w:val="0"/>
      <w:marBottom w:val="0"/>
      <w:divBdr>
        <w:top w:val="none" w:sz="0" w:space="0" w:color="auto"/>
        <w:left w:val="none" w:sz="0" w:space="0" w:color="auto"/>
        <w:bottom w:val="none" w:sz="0" w:space="0" w:color="auto"/>
        <w:right w:val="none" w:sz="0" w:space="0" w:color="auto"/>
      </w:divBdr>
    </w:div>
    <w:div w:id="1865628812">
      <w:bodyDiv w:val="1"/>
      <w:marLeft w:val="0"/>
      <w:marRight w:val="0"/>
      <w:marTop w:val="0"/>
      <w:marBottom w:val="0"/>
      <w:divBdr>
        <w:top w:val="none" w:sz="0" w:space="0" w:color="auto"/>
        <w:left w:val="none" w:sz="0" w:space="0" w:color="auto"/>
        <w:bottom w:val="none" w:sz="0" w:space="0" w:color="auto"/>
        <w:right w:val="none" w:sz="0" w:space="0" w:color="auto"/>
      </w:divBdr>
    </w:div>
    <w:div w:id="1960988353">
      <w:bodyDiv w:val="1"/>
      <w:marLeft w:val="0"/>
      <w:marRight w:val="0"/>
      <w:marTop w:val="0"/>
      <w:marBottom w:val="0"/>
      <w:divBdr>
        <w:top w:val="none" w:sz="0" w:space="0" w:color="auto"/>
        <w:left w:val="none" w:sz="0" w:space="0" w:color="auto"/>
        <w:bottom w:val="none" w:sz="0" w:space="0" w:color="auto"/>
        <w:right w:val="none" w:sz="0" w:space="0" w:color="auto"/>
      </w:divBdr>
    </w:div>
    <w:div w:id="1991640431">
      <w:bodyDiv w:val="1"/>
      <w:marLeft w:val="0"/>
      <w:marRight w:val="0"/>
      <w:marTop w:val="0"/>
      <w:marBottom w:val="0"/>
      <w:divBdr>
        <w:top w:val="none" w:sz="0" w:space="0" w:color="auto"/>
        <w:left w:val="none" w:sz="0" w:space="0" w:color="auto"/>
        <w:bottom w:val="none" w:sz="0" w:space="0" w:color="auto"/>
        <w:right w:val="none" w:sz="0" w:space="0" w:color="auto"/>
      </w:divBdr>
    </w:div>
    <w:div w:id="2080787085">
      <w:bodyDiv w:val="1"/>
      <w:marLeft w:val="0"/>
      <w:marRight w:val="0"/>
      <w:marTop w:val="0"/>
      <w:marBottom w:val="0"/>
      <w:divBdr>
        <w:top w:val="none" w:sz="0" w:space="0" w:color="auto"/>
        <w:left w:val="none" w:sz="0" w:space="0" w:color="auto"/>
        <w:bottom w:val="none" w:sz="0" w:space="0" w:color="auto"/>
        <w:right w:val="none" w:sz="0" w:space="0" w:color="auto"/>
      </w:divBdr>
    </w:div>
    <w:div w:id="21448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rightcare/intel/cfv/data-packs/"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heros.org.uk/healthcare-professionals/fracture-liaison-services/implementation-toolkit/" TargetMode="External"/><Relationship Id="rId17" Type="http://schemas.openxmlformats.org/officeDocument/2006/relationships/hyperlink" Target="https://theros.org.uk/media/1eubz33w/ros-clinical-standards-for-fracture-liaison-services-august-201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ffap.org.uk/fls/flsweb.nsf/" TargetMode="External"/><Relationship Id="rId20" Type="http://schemas.openxmlformats.org/officeDocument/2006/relationships/hyperlink" Target="https://theros.org.uk/healthcare-professionals/courses-and-cpd/fracture-prevention-practitioner-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os.org.uk/healthcare-professionals/fracture-liaison-services/implementation-toolk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ffap.org.uk/fls/flsweb.ns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cid:image001.jpg@01D5A511.2C9448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ros.org.uk/media/1eubz33w/ros-clinical-standards-for-fracture-liaison-services-august-2019.pdf"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ice.org.uk/guidance/cg146?unlid" TargetMode="External"/><Relationship Id="rId13" Type="http://schemas.openxmlformats.org/officeDocument/2006/relationships/hyperlink" Target="https://journals.lww.com/corr/Abstract/2007/08000/Prior_Fractures_are_Common_in_Patients_with.40.aspx" TargetMode="External"/><Relationship Id="rId18" Type="http://schemas.openxmlformats.org/officeDocument/2006/relationships/hyperlink" Target="http://share.iofbonehealth.org/EU-6-Material/Reports/IOF%20Report_EU.pdf" TargetMode="External"/><Relationship Id="rId26" Type="http://schemas.openxmlformats.org/officeDocument/2006/relationships/hyperlink" Target="https://theros.org.uk/healthcare-professionals/fracture-liaison-services/implementation-toolkit/" TargetMode="External"/><Relationship Id="rId3" Type="http://schemas.openxmlformats.org/officeDocument/2006/relationships/hyperlink" Target="http://www.healthcareimprovementscotland.org/previous_resources/audit_report/osteoporotic_fractures_audit.aspx" TargetMode="External"/><Relationship Id="rId21" Type="http://schemas.openxmlformats.org/officeDocument/2006/relationships/hyperlink" Target="https://www.nhfd.co.uk/files/2018ReportFiles/NHFD-2018-Annual-Report-v101.pdf" TargetMode="External"/><Relationship Id="rId7" Type="http://schemas.openxmlformats.org/officeDocument/2006/relationships/hyperlink" Target="https://theros.org.uk/healthcare-professionals/fracture-liaison-services/implementation-toolkit/" TargetMode="External"/><Relationship Id="rId12" Type="http://schemas.openxmlformats.org/officeDocument/2006/relationships/hyperlink" Target="https://acr.confex.com/acr/2006/webprogram/Paper5282.html" TargetMode="External"/><Relationship Id="rId17" Type="http://schemas.openxmlformats.org/officeDocument/2006/relationships/hyperlink" Target="https://assets.publishing.service.gov.uk/government/uploads/system/uploads/attachment_data/file/816458/future-of-an-ageing-population.pdf" TargetMode="External"/><Relationship Id="rId25" Type="http://schemas.openxmlformats.org/officeDocument/2006/relationships/hyperlink" Target="https://www.england.nhs.uk/rightcare/wp-content/uploads/sites/40/2017/12/falls-fragility-fractures-pathway-v18.pdf" TargetMode="External"/><Relationship Id="rId2" Type="http://schemas.openxmlformats.org/officeDocument/2006/relationships/hyperlink" Target="http://www.healthcareimprovementscotland.org/previous_resources/audit_report/osteoporotic_fractures_audit.aspx" TargetMode="External"/><Relationship Id="rId16" Type="http://schemas.openxmlformats.org/officeDocument/2006/relationships/hyperlink" Target="https://www.nice.org.uk/guidance/ta161/chapter/2-Clinical-need-and-practice" TargetMode="External"/><Relationship Id="rId20" Type="http://schemas.openxmlformats.org/officeDocument/2006/relationships/hyperlink" Target="http://share.iofbonehealth.org/EU-6-Material/Reports/IOF%20Report_EU.pdf" TargetMode="External"/><Relationship Id="rId29" Type="http://schemas.openxmlformats.org/officeDocument/2006/relationships/hyperlink" Target="https://theros.org.uk/healthcare-professionals/courses-and-cpd/" TargetMode="External"/><Relationship Id="rId1" Type="http://schemas.openxmlformats.org/officeDocument/2006/relationships/hyperlink" Target="http://www.healthcareimprovementscotland.org/previous_resources/audit_report/osteoporotic_fractures_audit.aspx" TargetMode="External"/><Relationship Id="rId6" Type="http://schemas.openxmlformats.org/officeDocument/2006/relationships/hyperlink" Target="https://theros.org.uk/healthcare-professionals/fracture-liaison-services/implementation-toolkit/" TargetMode="External"/><Relationship Id="rId11" Type="http://schemas.openxmlformats.org/officeDocument/2006/relationships/hyperlink" Target="http://www.healthcareimprovementscotland.org/previous_resources/audit_report/osteoporotic_fractures_audit.aspx" TargetMode="External"/><Relationship Id="rId24" Type="http://schemas.openxmlformats.org/officeDocument/2006/relationships/hyperlink" Target="https://assets.publishing.service.gov.uk/government/uploads/system/uploads/attachment_data/file/586382/falls_and_fractures_consensus_statement.pdf" TargetMode="External"/><Relationship Id="rId5" Type="http://schemas.openxmlformats.org/officeDocument/2006/relationships/hyperlink" Target="http://library.nhsggc.org.uk/mediaAssets/OFPS/NHSGGC%20Strategy%20for%20Osteoporosis%20and%20Falls%20Prevention%2020062010_An%20Evaluation_Skelton%20and%20Neil%202009.pdf" TargetMode="External"/><Relationship Id="rId15" Type="http://schemas.openxmlformats.org/officeDocument/2006/relationships/hyperlink" Target="http://share.iofbonehealth.org/EU-6-Material/Reports/IOF%20Report_EU.pdf" TargetMode="External"/><Relationship Id="rId23" Type="http://schemas.openxmlformats.org/officeDocument/2006/relationships/hyperlink" Target="http://www.laterlifetraining.co.uk/wp-content/uploads/2011/12/FF_Effective-Interventions-in-health-and-social-care.pdf" TargetMode="External"/><Relationship Id="rId28" Type="http://schemas.openxmlformats.org/officeDocument/2006/relationships/image" Target="media/image1.png"/><Relationship Id="rId10" Type="http://schemas.openxmlformats.org/officeDocument/2006/relationships/hyperlink" Target="http://share.iofbonehealth.org/EU-6-Material/Reports/IOF%20Report_EU.pdf" TargetMode="External"/><Relationship Id="rId19" Type="http://schemas.openxmlformats.org/officeDocument/2006/relationships/hyperlink" Target="https://www.nice.org.uk/guidance/cg146?unlid" TargetMode="External"/><Relationship Id="rId4" Type="http://schemas.openxmlformats.org/officeDocument/2006/relationships/hyperlink" Target="http://www.healthcareimprovementscotland.org/previous_resources/audit_report/osteoporotic_fractures_audit.aspx" TargetMode="External"/><Relationship Id="rId9" Type="http://schemas.openxmlformats.org/officeDocument/2006/relationships/hyperlink" Target="https://www.nice.org.uk/guidance/cg146?unlid" TargetMode="External"/><Relationship Id="rId14" Type="http://schemas.openxmlformats.org/officeDocument/2006/relationships/hyperlink" Target="http://nos.org.uk/media/1776/clinical-standards-report.pdf" TargetMode="External"/><Relationship Id="rId22" Type="http://schemas.openxmlformats.org/officeDocument/2006/relationships/hyperlink" Target="https://www.nhfd.co.uk/files/2018ReportFiles/NHFD-2018-Annual-Report-v101.pdf" TargetMode="External"/><Relationship Id="rId27" Type="http://schemas.openxmlformats.org/officeDocument/2006/relationships/hyperlink" Target="https://www.england.nhs.uk/rightcare/products/ccg-data-packs/where-to-look-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9A3574456A5AA64F8FAB1A91F40DCA7E" ma:contentTypeVersion="26" ma:contentTypeDescription="Create a new document." ma:contentTypeScope="" ma:versionID="9f46b928040165bd99efe86bd3a63d28">
  <xsd:schema xmlns:xsd="http://www.w3.org/2001/XMLSchema" xmlns:xs="http://www.w3.org/2001/XMLSchema" xmlns:p="http://schemas.microsoft.com/office/2006/metadata/properties" xmlns:ns1="http://schemas.microsoft.com/sharepoint/v3" xmlns:ns2="5174190d-c54a-49d0-989e-8efa7c5085b2" xmlns:ns3="c8c20058-494d-43f0-b534-aac60bcd117f" targetNamespace="http://schemas.microsoft.com/office/2006/metadata/properties" ma:root="true" ma:fieldsID="4a7e46678674b0129d50e21d32a4d5a3" ns1:_="" ns2:_="" ns3:_="">
    <xsd:import namespace="http://schemas.microsoft.com/sharepoint/v3"/>
    <xsd:import namespace="5174190d-c54a-49d0-989e-8efa7c5085b2"/>
    <xsd:import namespace="c8c20058-494d-43f0-b534-aac60bcd11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No_x002e_" minOccurs="0"/>
                <xsd:element ref="ns3:FileNo_x002e_" minOccurs="0"/>
                <xsd:element ref="ns3:Status" minOccurs="0"/>
                <xsd:element ref="ns3:Filepath" minOccurs="0"/>
                <xsd:element ref="ns1:_ip_UnifiedCompliancePolicyProperties" minOccurs="0"/>
                <xsd:element ref="ns1:_ip_UnifiedCompliancePolicyUIAction" minOccurs="0"/>
                <xsd:element ref="ns3:MediaServiceAutoKeyPoints" minOccurs="0"/>
                <xsd:element ref="ns3:MediaServiceKeyPoints" minOccurs="0"/>
                <xsd:element ref="ns3:MCWorkplan2020" minOccurs="0"/>
                <xsd:element ref="ns3:dateadded"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190d-c54a-49d0-989e-8efa7c5085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20058-494d-43f0-b534-aac60bcd11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_x002e_" ma:index="18" nillable="true" ma:displayName="No." ma:decimals="0" ma:format="Dropdown" ma:internalName="No_x002e_" ma:percentage="FALSE">
      <xsd:simpleType>
        <xsd:restriction base="dms:Number"/>
      </xsd:simpleType>
    </xsd:element>
    <xsd:element name="FileNo_x002e_" ma:index="19" nillable="true" ma:displayName="File No." ma:format="Dropdown" ma:internalName="FileNo_x002e_" ma:percentage="FALSE">
      <xsd:simpleType>
        <xsd:restriction base="dms:Number">
          <xsd:maxInclusive value="12"/>
          <xsd:minInclusive value="1"/>
        </xsd:restriction>
      </xsd:simpleType>
    </xsd:element>
    <xsd:element name="Status" ma:index="20" nillable="true" ma:displayName="Status" ma:format="Dropdown" ma:internalName="Status">
      <xsd:simpleType>
        <xsd:restriction base="dms:Text">
          <xsd:maxLength value="255"/>
        </xsd:restriction>
      </xsd:simpleType>
    </xsd:element>
    <xsd:element name="Filepath" ma:index="21"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CWorkplan2020" ma:index="26" nillable="true" ma:displayName="M&amp;C Workplan 2020" ma:format="Hyperlink" ma:internalName="MCWorkplan2020">
      <xsd:complexType>
        <xsd:complexContent>
          <xsd:extension base="dms:URL">
            <xsd:sequence>
              <xsd:element name="Url" type="dms:ValidUrl" minOccurs="0" nillable="true"/>
              <xsd:element name="Description" type="xsd:string" nillable="true"/>
            </xsd:sequence>
          </xsd:extension>
        </xsd:complexContent>
      </xsd:complexType>
    </xsd:element>
    <xsd:element name="dateadded" ma:index="27" nillable="true" ma:displayName="date added" ma:format="DateOnly" ma:internalName="dateadded">
      <xsd:simpleType>
        <xsd:restriction base="dms:DateTime"/>
      </xsd:simpleType>
    </xsd:element>
    <xsd:element name="Comments" ma:index="28" nillable="true" ma:displayName="Comments" ma:description="No CSV - Emailed Customer 05/01/2021"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_x002e_ xmlns="c8c20058-494d-43f0-b534-aac60bcd117f" xsi:nil="true"/>
    <Filepath xmlns="c8c20058-494d-43f0-b534-aac60bcd117f">
      <Url xsi:nil="true"/>
      <Description xsi:nil="true"/>
    </Filepath>
    <FileNo_x002e_ xmlns="c8c20058-494d-43f0-b534-aac60bcd117f" xsi:nil="true"/>
    <_ip_UnifiedCompliancePolicyProperties xmlns="http://schemas.microsoft.com/sharepoint/v3" xsi:nil="true"/>
    <Status xmlns="c8c20058-494d-43f0-b534-aac60bcd117f" xsi:nil="true"/>
    <MCWorkplan2020 xmlns="c8c20058-494d-43f0-b534-aac60bcd117f">
      <Url xsi:nil="true"/>
      <Description xsi:nil="true"/>
    </MCWorkplan2020>
    <Comments xmlns="c8c20058-494d-43f0-b534-aac60bcd117f" xsi:nil="true"/>
    <dateadded xmlns="c8c20058-494d-43f0-b534-aac60bcd117f" xsi:nil="true"/>
  </documentManagement>
</p:properties>
</file>

<file path=customXml/itemProps1.xml><?xml version="1.0" encoding="utf-8"?>
<ds:datastoreItem xmlns:ds="http://schemas.openxmlformats.org/officeDocument/2006/customXml" ds:itemID="{FCC95C97-449F-45BF-901E-EDFFE938EEC2}">
  <ds:schemaRefs>
    <ds:schemaRef ds:uri="http://schemas.microsoft.com/sharepoint/v3/contenttype/forms"/>
  </ds:schemaRefs>
</ds:datastoreItem>
</file>

<file path=customXml/itemProps2.xml><?xml version="1.0" encoding="utf-8"?>
<ds:datastoreItem xmlns:ds="http://schemas.openxmlformats.org/officeDocument/2006/customXml" ds:itemID="{F793C9A2-83CD-4D66-B8EE-84349FD83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4190d-c54a-49d0-989e-8efa7c5085b2"/>
    <ds:schemaRef ds:uri="c8c20058-494d-43f0-b534-aac60bcd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D2588-B681-424E-9B9E-E0DAF00367F0}">
  <ds:schemaRefs>
    <ds:schemaRef ds:uri="http://schemas.openxmlformats.org/officeDocument/2006/bibliography"/>
  </ds:schemaRefs>
</ds:datastoreItem>
</file>

<file path=customXml/itemProps4.xml><?xml version="1.0" encoding="utf-8"?>
<ds:datastoreItem xmlns:ds="http://schemas.openxmlformats.org/officeDocument/2006/customXml" ds:itemID="{E859C0A3-C3BD-4F22-AC8B-95B9BD871D44}">
  <ds:schemaRefs>
    <ds:schemaRef ds:uri="http://schemas.microsoft.com/office/2006/metadata/properties"/>
    <ds:schemaRef ds:uri="http://schemas.microsoft.com/office/infopath/2007/PartnerControls"/>
    <ds:schemaRef ds:uri="http://schemas.microsoft.com/sharepoint/v3"/>
    <ds:schemaRef ds:uri="c8c20058-494d-43f0-b534-aac60bcd117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3660</Words>
  <Characters>20864</Characters>
  <Application>Microsoft Office Word</Application>
  <DocSecurity>0</DocSecurity>
  <Lines>173</Lines>
  <Paragraphs>48</Paragraphs>
  <ScaleCrop>false</ScaleCrop>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Glenn</dc:creator>
  <cp:lastModifiedBy>Helen Glenn</cp:lastModifiedBy>
  <cp:revision>19</cp:revision>
  <cp:lastPrinted>2017-06-22T14:54:00Z</cp:lastPrinted>
  <dcterms:created xsi:type="dcterms:W3CDTF">2021-01-27T13:58:00Z</dcterms:created>
  <dcterms:modified xsi:type="dcterms:W3CDTF">2021-01-28T09:30:00Z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0x0101009A3574456A5AA64F8FAB1A91F40DCA7E</vt:lpwstr>
  </property>
</Properties>
</file>